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宋体" w:hAnsi="宋体" w:eastAsia="宋体" w:cs="宋体"/>
          <w:color w:val="000000"/>
          <w:kern w:val="0"/>
          <w:sz w:val="24"/>
          <w:szCs w:val="24"/>
          <w:lang w:val="en-US" w:eastAsia="zh-CN" w:bidi="ar-SA"/>
        </w:rPr>
      </w:pPr>
      <w:bookmarkStart w:id="0" w:name="_GoBack"/>
      <w:bookmarkEnd w:id="0"/>
      <w:r>
        <w:rPr>
          <w:rFonts w:hint="eastAsia" w:ascii="宋体" w:hAnsi="宋体" w:eastAsia="宋体" w:cs="宋体"/>
          <w:color w:val="000000"/>
          <w:kern w:val="0"/>
          <w:sz w:val="24"/>
          <w:szCs w:val="24"/>
          <w:lang w:val="en-US" w:eastAsia="zh-CN" w:bidi="ar-SA"/>
        </w:rPr>
        <w:t>附件1</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宋体" w:hAnsi="宋体" w:eastAsia="宋体" w:cs="宋体"/>
          <w:b/>
          <w:bCs/>
          <w:color w:val="000000"/>
          <w:kern w:val="0"/>
          <w:sz w:val="44"/>
          <w:szCs w:val="44"/>
          <w:lang w:val="en-US" w:eastAsia="zh-CN" w:bidi="ar-SA"/>
        </w:rPr>
      </w:pPr>
      <w:r>
        <w:rPr>
          <w:rFonts w:hint="eastAsia" w:ascii="宋体" w:hAnsi="宋体" w:eastAsia="宋体" w:cs="宋体"/>
          <w:b/>
          <w:bCs/>
          <w:color w:val="000000"/>
          <w:kern w:val="0"/>
          <w:sz w:val="44"/>
          <w:szCs w:val="44"/>
          <w:lang w:val="en-US" w:eastAsia="zh-CN" w:bidi="ar-SA"/>
        </w:rPr>
        <w:t>关于印发《公共资源交易评标专家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仿宋" w:hAnsi="仿宋" w:eastAsia="仿宋" w:cs="仿宋"/>
          <w:color w:val="000000"/>
          <w:kern w:val="0"/>
          <w:sz w:val="44"/>
          <w:szCs w:val="44"/>
          <w:lang w:val="en-US" w:eastAsia="zh-CN" w:bidi="ar-SA"/>
        </w:rPr>
      </w:pPr>
      <w:r>
        <w:rPr>
          <w:rFonts w:hint="eastAsia" w:ascii="宋体" w:hAnsi="宋体" w:eastAsia="宋体" w:cs="宋体"/>
          <w:b/>
          <w:bCs/>
          <w:color w:val="000000"/>
          <w:kern w:val="0"/>
          <w:sz w:val="44"/>
          <w:szCs w:val="44"/>
          <w:lang w:val="en-US" w:eastAsia="zh-CN" w:bidi="ar-SA"/>
        </w:rPr>
        <w:t>专业分类标准》的通知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发改法规〔2018〕316号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各省、自治区、直辖市发展改革委、公共资源交易平台整合牵头部门、工业和信息化主管部门、通信管理局、国土资源厅、环境保护厅、住房城乡建设厅、交通运输厅、水利厅、商务厅、国资委、林业厅，各地区铁路监督管理局、民航各地区管理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为贯彻落实《国务院办公厅关于印发整合建立统一的公共资源交易平台工作方案的通知》（国办发〔2015〕63号），推进全国范围内评标专家资源整合共享，我们修订形成了《公共资源交易评标专家专业分类标准》（以下简称《标准》），现予印发。为做好《标准》贯彻落实工作，就有关事项和要求通知如下。</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一、印发实施统一的公共资源交易评标专家分类标准，是整合专家资源，推动实现专家资源及专家信用信息全国范围内互联共享的重要举措。各地各部门要进一步统一思想，提高认识，明确任务，落实责任。各省级人民政府指定的公共资源交易平台整合部门和发展改革部门要切实发挥组织协调和督促指导作用，各行政监督管理部门要按照职责分工，推进《标准》实施工作有序进行。</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二、评标专家专业分类实行全国统一编码，投入运行的各级各类评标专家库应依据《标准》及时调整评标专家分类，在2018年12月底前，完成专家库专业分类调整工作。</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三、各地各部门要密切关注《标准》适用情况，注意收集各方面反馈信息，及时将实施中遇到的问题向上级主管部门报告。国家发展改革委将会同国务院有关部门适时对《标准》进行修订。</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附件：</w:t>
      </w:r>
      <w:r>
        <w:rPr>
          <w:rFonts w:hint="eastAsia" w:ascii="仿宋" w:hAnsi="仿宋" w:eastAsia="仿宋" w:cs="仿宋"/>
          <w:color w:val="000000"/>
          <w:kern w:val="0"/>
          <w:sz w:val="30"/>
          <w:szCs w:val="30"/>
          <w:lang w:val="en-US" w:eastAsia="zh-CN" w:bidi="ar-SA"/>
        </w:rPr>
        <w:fldChar w:fldCharType="begin"/>
      </w:r>
      <w:r>
        <w:rPr>
          <w:rFonts w:hint="eastAsia" w:ascii="仿宋" w:hAnsi="仿宋" w:eastAsia="仿宋" w:cs="仿宋"/>
          <w:color w:val="000000"/>
          <w:kern w:val="0"/>
          <w:sz w:val="30"/>
          <w:szCs w:val="30"/>
          <w:lang w:val="en-US" w:eastAsia="zh-CN" w:bidi="ar-SA"/>
        </w:rPr>
        <w:instrText xml:space="preserve"> HYPERLINK "http://www.ndrc.gov.cn/zcfb/zcfbtz/201803/W020180320608562427626.pdf" \t "http://www.ndrc.gov.cn/zcfb/zcfbtz/201803/_blank" </w:instrText>
      </w:r>
      <w:r>
        <w:rPr>
          <w:rFonts w:hint="eastAsia" w:ascii="仿宋" w:hAnsi="仿宋" w:eastAsia="仿宋" w:cs="仿宋"/>
          <w:color w:val="000000"/>
          <w:kern w:val="0"/>
          <w:sz w:val="30"/>
          <w:szCs w:val="30"/>
          <w:lang w:val="en-US" w:eastAsia="zh-CN" w:bidi="ar-SA"/>
        </w:rPr>
        <w:fldChar w:fldCharType="separate"/>
      </w:r>
      <w:r>
        <w:rPr>
          <w:rFonts w:hint="eastAsia" w:ascii="仿宋" w:hAnsi="仿宋" w:eastAsia="仿宋" w:cs="仿宋"/>
          <w:color w:val="000000"/>
          <w:kern w:val="0"/>
          <w:sz w:val="30"/>
          <w:szCs w:val="30"/>
          <w:lang w:val="en-US" w:eastAsia="zh-CN" w:bidi="ar-SA"/>
        </w:rPr>
        <w:t>1.公共资源交易评标专家专业分类标准</w:t>
      </w:r>
      <w:r>
        <w:rPr>
          <w:rFonts w:hint="eastAsia" w:ascii="仿宋" w:hAnsi="仿宋" w:eastAsia="仿宋" w:cs="仿宋"/>
          <w:color w:val="000000"/>
          <w:kern w:val="0"/>
          <w:sz w:val="30"/>
          <w:szCs w:val="30"/>
          <w:lang w:val="en-US" w:eastAsia="zh-CN" w:bidi="ar-SA"/>
        </w:rPr>
        <w:fldChar w:fldCharType="end"/>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w:t>
      </w:r>
      <w:r>
        <w:rPr>
          <w:rFonts w:hint="eastAsia" w:ascii="仿宋" w:hAnsi="仿宋" w:eastAsia="仿宋" w:cs="仿宋"/>
          <w:color w:val="000000"/>
          <w:kern w:val="0"/>
          <w:sz w:val="30"/>
          <w:szCs w:val="30"/>
          <w:lang w:val="en-US" w:eastAsia="zh-CN" w:bidi="ar-SA"/>
        </w:rPr>
        <w:fldChar w:fldCharType="begin"/>
      </w:r>
      <w:r>
        <w:rPr>
          <w:rFonts w:hint="eastAsia" w:ascii="仿宋" w:hAnsi="仿宋" w:eastAsia="仿宋" w:cs="仿宋"/>
          <w:color w:val="000000"/>
          <w:kern w:val="0"/>
          <w:sz w:val="30"/>
          <w:szCs w:val="30"/>
          <w:lang w:val="en-US" w:eastAsia="zh-CN" w:bidi="ar-SA"/>
        </w:rPr>
        <w:instrText xml:space="preserve"> HYPERLINK "http://www.ndrc.gov.cn/zcfb/zcfbtz/201803/W020180315628334621608.pdf" \t "http://www.ndrc.gov.cn/zcfb/zcfbtz/201803/_blank" </w:instrText>
      </w:r>
      <w:r>
        <w:rPr>
          <w:rFonts w:hint="eastAsia" w:ascii="仿宋" w:hAnsi="仿宋" w:eastAsia="仿宋" w:cs="仿宋"/>
          <w:color w:val="000000"/>
          <w:kern w:val="0"/>
          <w:sz w:val="30"/>
          <w:szCs w:val="30"/>
          <w:lang w:val="en-US" w:eastAsia="zh-CN" w:bidi="ar-SA"/>
        </w:rPr>
        <w:fldChar w:fldCharType="separate"/>
      </w:r>
      <w:r>
        <w:rPr>
          <w:rFonts w:hint="eastAsia" w:ascii="仿宋" w:hAnsi="仿宋" w:eastAsia="仿宋" w:cs="仿宋"/>
          <w:color w:val="000000"/>
          <w:kern w:val="0"/>
          <w:sz w:val="30"/>
          <w:szCs w:val="30"/>
          <w:lang w:val="en-US" w:eastAsia="zh-CN" w:bidi="ar-SA"/>
        </w:rPr>
        <w:t>2.修订说明</w:t>
      </w:r>
      <w:r>
        <w:rPr>
          <w:rFonts w:hint="eastAsia" w:ascii="仿宋" w:hAnsi="仿宋" w:eastAsia="仿宋" w:cs="仿宋"/>
          <w:color w:val="000000"/>
          <w:kern w:val="0"/>
          <w:sz w:val="30"/>
          <w:szCs w:val="30"/>
          <w:lang w:val="en-US" w:eastAsia="zh-CN" w:bidi="ar-SA"/>
        </w:rPr>
        <w:fldChar w:fldCharType="end"/>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国家发展改革委</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工业和信息化部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国 土 资 源 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环 境 保 护 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住房城乡建设部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交 通 运 输 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水　　利　　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商　　务　　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国　　资　　委</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国 家 林 业 局</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5400" w:firstLineChars="1800"/>
        <w:jc w:val="left"/>
        <w:textAlignment w:val="auto"/>
        <w:outlineLvl w:val="9"/>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2018年2月12日</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cs="宋体"/>
          <w:color w:val="000000"/>
          <w:sz w:val="21"/>
          <w:szCs w:val="21"/>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cs="宋体"/>
          <w:color w:val="000000"/>
          <w:sz w:val="21"/>
          <w:szCs w:val="21"/>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cs="宋体"/>
          <w:color w:val="000000"/>
          <w:sz w:val="21"/>
          <w:szCs w:val="21"/>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cs="宋体"/>
          <w:color w:val="000000"/>
          <w:sz w:val="21"/>
          <w:szCs w:val="21"/>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cs="宋体"/>
          <w:color w:val="000000"/>
          <w:sz w:val="21"/>
          <w:szCs w:val="21"/>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ascii="宋体" w:hAnsi="宋体" w:eastAsia="宋体" w:cs="宋体"/>
          <w:color w:val="000000"/>
          <w:sz w:val="21"/>
          <w:szCs w:val="21"/>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240" w:lineRule="auto"/>
        <w:jc w:val="both"/>
        <w:textAlignment w:val="auto"/>
        <w:outlineLvl w:val="9"/>
        <w:rPr>
          <w:rFonts w:hint="eastAsia" w:ascii="宋体" w:hAnsi="宋体" w:eastAsia="宋体" w:cs="宋体"/>
          <w:color w:val="00000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54F69"/>
    <w:rsid w:val="41565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style28"/>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簡約伈</cp:lastModifiedBy>
  <dcterms:modified xsi:type="dcterms:W3CDTF">2019-01-16T02:15:02Z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