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关于推进以县城为重要载体的城镇化建设</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大力实施强县域行动的实施方案</w:t>
      </w:r>
    </w:p>
    <w:p>
      <w:pPr>
        <w:spacing w:line="60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ascii="楷体_GB2312" w:hAnsi="楷体_GB2312" w:eastAsia="楷体_GB2312" w:cs="楷体_GB2312"/>
          <w:sz w:val="32"/>
          <w:szCs w:val="32"/>
          <w:lang w:val="en-US" w:eastAsia="zh-CN"/>
        </w:rPr>
        <w:t xml:space="preserve">          （征求意见稿）</w:t>
      </w:r>
    </w:p>
    <w:p>
      <w:pPr>
        <w:pStyle w:val="2"/>
        <w:rPr>
          <w:rFonts w:hint="default"/>
          <w:lang w:val="en-US" w:eastAsia="zh-CN"/>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中共甘肃省委办公厅甘肃省人民政府办公厅印发〈关于推进以县城为重要载体的城镇化建设大力实施强县域行动的若干措施〉的通知》（甘办发〔2022〕28号）、《中共平凉市委办公室平凉市人民政府办公室印发〈关于推进以县城为重要载体的城镇化建设大力实施强县域行动的实施方案〉的通知》（平办发〔2023〕11号）精神，加快完善县城功能，提升人口承载能力，促进经济总量、发展质量同步提升，建立加快城镇化和强县域行动融合机制，促进新型城镇化建设，构建新型工农城乡关系，结合我县实际，制定本方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一、总体要求</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（一）指导思想</w:t>
      </w:r>
    </w:p>
    <w:p>
      <w:pPr>
        <w:spacing w:line="600" w:lineRule="exact"/>
        <w:ind w:firstLine="640" w:firstLineChars="200"/>
        <w:rPr>
          <w:rFonts w:ascii="Times New Roman" w:hAnsi="Times New Roman" w:eastAsia="仿宋_GB2312" w:cs="Times New Roman"/>
          <w:sz w:val="32"/>
          <w:szCs w:val="32"/>
        </w:rPr>
        <w:sectPr>
          <w:pgSz w:w="11906" w:h="16838"/>
          <w:pgMar w:top="2098" w:right="1474" w:bottom="1985" w:left="1588"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pPr>
      <w:r>
        <w:rPr>
          <w:rFonts w:ascii="Times New Roman" w:hAnsi="Times New Roman" w:eastAsia="仿宋_GB2312" w:cs="Times New Roman"/>
          <w:sz w:val="32"/>
          <w:szCs w:val="32"/>
        </w:rPr>
        <w:t>坚持以习近平新时代中国特色社会主义思想为指导，深入学习贯彻党的二十大精神，坚决贯彻习近平总书记对甘肃重要讲话和指示精神，紧扣“三新一高”发展要求，深度融入全省“一核三带”区域发展格局，紧盯全市“三大基地”“两个示范区”战略发展</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目标，按照“农业优先型+工业主导型”县域经济发展定位，统筹县域生产、生活、生态、安全需要，一体推进县域城镇化、工业化和现代化，全面补齐县城短板弱项，促进县城产业配套设施提质增效、市政公用设施提档升级、公共服务设施提标扩面、环境基础设施提级扩能，提升强县域行动承载能力，促进县城加快转型发展，开创城镇化发展和强县域行动新局面。</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（二）工作要求</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1.规划引领，统筹发展。</w:t>
      </w:r>
      <w:r>
        <w:rPr>
          <w:rFonts w:ascii="Times New Roman" w:hAnsi="Times New Roman" w:eastAsia="仿宋_GB2312" w:cs="Times New Roman"/>
          <w:sz w:val="32"/>
          <w:szCs w:val="32"/>
        </w:rPr>
        <w:t>坚持以全县国土空间总体规划为统领，紧扣“一心三轴，五区六点”的城镇空间发展格局，以主体功能区划为基础，统筹考虑地形地貌和乡镇布局，以县城为中心、乡镇为主体，以静庄高速、G312线、S222线、静秦路等国省道中轴线为依托，着力提升沿线小城镇轴带发展能力，构建以点带面、以轴带线、轴线联动、全面发展的城镇空间体系。</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2.补齐短板，强化服务。</w:t>
      </w:r>
      <w:r>
        <w:rPr>
          <w:rFonts w:ascii="Times New Roman" w:hAnsi="Times New Roman" w:eastAsia="仿宋_GB2312" w:cs="Times New Roman"/>
          <w:sz w:val="32"/>
          <w:szCs w:val="32"/>
        </w:rPr>
        <w:t>区分轻重缓急，缺什么补什么，着力解决好卡脖子问题，补齐产业配套、市政公用、公共服务、环境基础等领域短板弱项，促进基础设施和公共服务向乡村延伸覆盖，改善人居环境，吸引人口和产业向县城集聚，促进居民增收和扩大消费。</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3.集聚资源，合力攻坚。</w:t>
      </w:r>
      <w:r>
        <w:rPr>
          <w:rFonts w:ascii="Times New Roman" w:hAnsi="Times New Roman" w:eastAsia="仿宋_GB2312" w:cs="Times New Roman"/>
          <w:sz w:val="32"/>
          <w:szCs w:val="32"/>
        </w:rPr>
        <w:t>尊重县城发展规律及市场规律，顺应县城人口流动变化趋势，合理把握县城建设节奏，紧盯人口、土地、资金三大要素，按照“农业优先型+工业主导型”发展定位，因地制宜，分类施策，支持引导建设用地、劳动力、资本等要素向县城集聚，形成以工促农、城乡融合发展新局面。</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（三）发展目标。</w:t>
      </w:r>
      <w:r>
        <w:rPr>
          <w:rFonts w:ascii="Times New Roman" w:hAnsi="Times New Roman" w:eastAsia="仿宋_GB2312" w:cs="Times New Roman"/>
          <w:sz w:val="32"/>
          <w:szCs w:val="32"/>
        </w:rPr>
        <w:t>到2025年，产业对县城发展的支撑带动作用更加明显，县城基础设施短板进一步补齐补强，市政设施基本完备，公共服务全面提升，以县城为重要载体的城镇化建设取得重要进展。县城固定资产投资稳定增长，投资拉动作用更趋明显；城乡居民收入差距进一步缩小，居民消费水平逐步提高。到2025年，全县地区生产总值达到</w:t>
      </w:r>
      <w:r>
        <w:rPr>
          <w:rFonts w:hint="eastAsia" w:ascii="Times New Roman" w:hAnsi="Times New Roman" w:eastAsia="仿宋_GB2312" w:cs="Times New Roman"/>
          <w:sz w:val="32"/>
          <w:szCs w:val="32"/>
          <w:lang w:val="en-US" w:eastAsia="zh-CN"/>
        </w:rPr>
        <w:t>130-150</w:t>
      </w:r>
      <w:r>
        <w:rPr>
          <w:rFonts w:ascii="Times New Roman" w:hAnsi="Times New Roman" w:eastAsia="仿宋_GB2312" w:cs="Times New Roman"/>
          <w:sz w:val="32"/>
          <w:szCs w:val="32"/>
        </w:rPr>
        <w:t>亿元，居民人均可支配收入年均增速达到7%，城镇新增就业1万人左右，全县常住人口城镇化率达到40％以上，强县域行动取得阶段性成效。</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二、立足县域功能定位，全力建设特色显明富有活力宜居宜业的现代化县城</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（四）坚持农业优先，聚力打造融合发展的现代农业强县。</w:t>
      </w:r>
      <w:r>
        <w:rPr>
          <w:rFonts w:ascii="Times New Roman" w:hAnsi="Times New Roman" w:eastAsia="仿宋_GB2312" w:cs="Times New Roman"/>
          <w:sz w:val="32"/>
          <w:szCs w:val="32"/>
        </w:rPr>
        <w:t>以建设国家农业精品培育示范区、全国苹果特色优势产业集群、全国肉牛优质生产繁育加工集群“一区两集群”为目标，坚持“南果北牛、种养循环、多元互促”的现代生态循环农业发展思路，整合资源要素，培育先进典型，打造特色亮点，加快农业产业化、园区化、规模化进程，集聚放大静宁苹果、平凉红牛、特色蔬菜等农产品品牌效应，促进全县农业产业转型升级、提质增效。同时，以农业产业为基础，统筹推动果品肉制品加工、冷链物流、电子商务、文化旅游等关联产业发展，聚力建设城乡融合发展的现代农业强县。</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（五）坚持工业主导，聚力打造集群发展的特色工业强县。</w:t>
      </w:r>
      <w:r>
        <w:rPr>
          <w:rFonts w:ascii="Times New Roman" w:hAnsi="Times New Roman" w:eastAsia="仿宋_GB2312" w:cs="Times New Roman"/>
          <w:sz w:val="32"/>
          <w:szCs w:val="32"/>
        </w:rPr>
        <w:t>以建设全国农副产品营销加工基地、六盘山西麓工业商贸物流基地“两大基地”为目标，深入实施工业强县行动，以做大做强工业为主攻方向，加大项目争取和招商引资力度，着力优化存量、扩大增量、提升质量，补齐工业发展短板。坚持传统产业高端化、智能化、绿色化发展，改造提升民爆器材、地毯加工、建筑建材等传统产业，提升发展层次和市场竞争力。以“粮头食尾”“农头工尾”为抓手，积极发展肉制品、苹果脆片、面制品、果汁饮料、洋芋淀粉等农副产品加工业。按照“承接城区、集聚要素、服务城市、产城融合”思路，推进工业园区扩容提质、要素聚合，提高“亩均效益”，将园区打造为产业聚集洼地，聚力建设集群发展的特色工业强县。</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三、构建现代化产业体系，促进县域经济优化升级</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（六）扛稳扛牢粮食安全重任。</w:t>
      </w:r>
      <w:r>
        <w:rPr>
          <w:rFonts w:ascii="Times New Roman" w:hAnsi="Times New Roman" w:eastAsia="仿宋_GB2312" w:cs="Times New Roman"/>
          <w:sz w:val="32"/>
          <w:szCs w:val="32"/>
        </w:rPr>
        <w:t>深入实施“藏粮于地、藏粮于技”战略，强化粮食安全党政同责，严格耕地用途管制和占补平衡，稳定粮食播种面积，调整优化粮食结构，稳步提高粮食综合生产能力。“十四五”期间，力争在原安、细巷、红寺、界石铺等乡镇建设高标准农田26.02万亩。同时，示范推广大豆玉米带状复合种植，大力</w:t>
      </w:r>
      <w:r>
        <w:rPr>
          <w:rFonts w:ascii="Times New Roman" w:hAnsi="Times New Roman" w:eastAsia="仿宋_GB2312" w:cs="Times New Roman"/>
          <w:color w:val="000000"/>
          <w:sz w:val="32"/>
          <w:szCs w:val="32"/>
        </w:rPr>
        <w:t>推广测土配方施肥技术，全面整治撂荒地</w:t>
      </w:r>
      <w:r>
        <w:rPr>
          <w:rFonts w:ascii="Times New Roman" w:hAnsi="Times New Roman" w:eastAsia="仿宋_GB2312" w:cs="Times New Roman"/>
          <w:sz w:val="32"/>
          <w:szCs w:val="32"/>
        </w:rPr>
        <w:t>，建立常态长效监管机制，</w:t>
      </w:r>
      <w:r>
        <w:rPr>
          <w:rFonts w:ascii="Times New Roman" w:hAnsi="Times New Roman" w:eastAsia="仿宋_GB2312" w:cs="Times New Roman"/>
          <w:color w:val="000000"/>
          <w:sz w:val="32"/>
          <w:szCs w:val="32"/>
        </w:rPr>
        <w:t>年推广旱</w:t>
      </w:r>
      <w:r>
        <w:rPr>
          <w:rFonts w:ascii="Times New Roman" w:hAnsi="Times New Roman" w:eastAsia="仿宋_GB2312" w:cs="Times New Roman"/>
          <w:sz w:val="32"/>
          <w:szCs w:val="32"/>
        </w:rPr>
        <w:t>作农业85万亩，确保基本农田保护面积控制在100万亩以上，粮食生产功能区稳定在50万亩以上，全县粮食产量稳定在26万吨以上。</w:t>
      </w:r>
      <w:r>
        <w:rPr>
          <w:rFonts w:ascii="Times New Roman" w:hAnsi="Times New Roman" w:eastAsia="楷体_GB2312" w:cs="Times New Roman"/>
          <w:b/>
          <w:bCs/>
          <w:sz w:val="32"/>
          <w:szCs w:val="32"/>
        </w:rPr>
        <w:t>（责任单位：县粮食安全责任制考核领导小组各成员单位，各乡镇党委、政府）</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（七）做优做强静宁苹果首位产业。</w:t>
      </w:r>
      <w:r>
        <w:rPr>
          <w:rFonts w:ascii="Times New Roman" w:hAnsi="Times New Roman" w:eastAsia="仿宋_GB2312" w:cs="Times New Roman"/>
          <w:sz w:val="32"/>
          <w:szCs w:val="32"/>
        </w:rPr>
        <w:t>按照“一核、三带、五区、多点”产业布局，突出稳量、提质、增效、强牌，坚持“三品”齐抓、“三化”并进，围绕建设“一基地六中心”，推动由规模型向效益型转变，由粗放式向集约化提升，全方位挖掘果产业潜力，全链条提升附加值，实现“一产强基、二产壮骨、三产赋能”，全力建设百亿级现代产业集群，努力把静宁打造成中国苹果之都、国际交易中心。做强生产链。组建国内顶级专家团队，制定行业领先标准，加大科技研发推广，加快果树种植模式革新，初步形成产学研发展格局，建成中国优质苹果生产基地、中国苹果科技研发中心和中国苹果大数据中心。畅通循环链。大力推进种养结合型生态循环果园建设，集成推广“畜—沼—果”等适用技术模式，探索推广“果木枝加工—食用菌生产—废料还田施肥”技术，建设中国现代循环果业发展示范区。提升价值链。加大品牌宣传，打造具有国际影响力的知名品牌，全力推动品牌高端化、内涵化，争取国内苹果定价权，建成中国苹果展示展销中心和苹果价格发布中心。打通转化链。加快推进精深加工，大力发展果汁、果酒、果醋、果脆、套袋、发泡网、专用肥、纸箱等关联配套产品，全力打造一批产加销一体的全产业链企业集群。完善流通链。完善线上线下、内销出口营销体系，构建国际国内双循环格局，建成中国苹果物流电商配送中心和中国苹果国际交易结算中心。做优金融链。创新金融服务产品，拓宽融资渠道，降低融资成本，为全产业链提供金融支持。到2025年，全县苹果种植面积稳定在100万亩以上，总产量达到100万吨以上，综合产值达到150亿元以上，“静宁苹果”区域公用品牌价值达到</w:t>
      </w:r>
      <w:r>
        <w:rPr>
          <w:rFonts w:hint="eastAsia" w:ascii="Times New Roman" w:hAnsi="Times New Roman" w:eastAsia="仿宋_GB2312" w:cs="Times New Roman"/>
          <w:sz w:val="32"/>
          <w:szCs w:val="32"/>
        </w:rPr>
        <w:t>200</w:t>
      </w:r>
      <w:r>
        <w:rPr>
          <w:rFonts w:ascii="Times New Roman" w:hAnsi="Times New Roman" w:eastAsia="仿宋_GB2312" w:cs="Times New Roman"/>
          <w:sz w:val="32"/>
          <w:szCs w:val="32"/>
        </w:rPr>
        <w:t>亿元</w:t>
      </w:r>
      <w:r>
        <w:rPr>
          <w:rFonts w:hint="eastAsia" w:ascii="Times New Roman" w:hAnsi="Times New Roman" w:eastAsia="仿宋_GB2312" w:cs="Times New Roman"/>
          <w:sz w:val="32"/>
          <w:szCs w:val="32"/>
        </w:rPr>
        <w:t>以上</w:t>
      </w:r>
      <w:r>
        <w:rPr>
          <w:rFonts w:ascii="Times New Roman" w:hAnsi="Times New Roman" w:eastAsia="仿宋_GB2312" w:cs="Times New Roman"/>
          <w:sz w:val="32"/>
          <w:szCs w:val="32"/>
        </w:rPr>
        <w:t>。</w:t>
      </w:r>
      <w:r>
        <w:rPr>
          <w:rFonts w:ascii="Times New Roman" w:hAnsi="Times New Roman" w:eastAsia="楷体_GB2312" w:cs="Times New Roman"/>
          <w:b/>
          <w:bCs/>
          <w:sz w:val="32"/>
          <w:szCs w:val="32"/>
        </w:rPr>
        <w:t>（责任单位：县林草局、县农业农村局、县乡村振兴局、县工信局、县商务局、县市场监管局、县发改局、县财政局、县自然资源局、县招商服务中心，各乡镇党委、政府）</w:t>
      </w:r>
    </w:p>
    <w:p>
      <w:pPr>
        <w:overflowPunct w:val="0"/>
        <w:topLinePunct/>
        <w:adjustRightInd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（八）做大做强平凉红牛产业。</w:t>
      </w:r>
      <w:r>
        <w:rPr>
          <w:rFonts w:ascii="Times New Roman" w:hAnsi="Times New Roman" w:eastAsia="仿宋_GB2312" w:cs="Times New Roman"/>
          <w:sz w:val="32"/>
          <w:szCs w:val="32"/>
        </w:rPr>
        <w:t>以建设现代畜牧业为方向，以繁育、饲草、流通、科技、安全、服务等肉牛产业“六大体系”为重点，实施“强龙延链、良种培育、扩繁增量、秸秆变肉、品牌提升、机制创新”六大工程，持续推进牛产业向基地规模化、生产标准化、营销品牌化、产业集群化方向发展。抓好繁育稳链，加大平凉红牛种质资源创新力度，不断扩大种群规模，建设2000头良种扩繁群和500头良种选育核心群，创建平凉红牛标准化养殖示范村100个，建成原安、界石、甘沟、灵芝、古城等5个万头牛产业强镇，建成昊康牧业、锡航农业、北斗农业生态牧场、界石铺供港、启途牧业等规模化肉牛养殖基地，建设全国优质肉牛生产繁育基地。做优饲草保链，大力实施“粮改饲”项目，抓建长易河、高界河、甘沟河三条流域种养循环产业示范带，做好全株玉米秸秆青贮，实施古城大玉米饲草加工基地、凯东饲草加工基地、陇上草高湿玉米生产线、饲草玉米种植地膜补贴等饲草种植加工项目，带动全县年种植优质饲草18万亩，促进草畜产业一体化发展。做大销售强链，做强乡镇母牛交易市场，争取建设县级肉牛交易市场，提升平凉红牛核心竞争力，拓宽活牛粤港澳直供等销路，争创国家级平凉红牛外贸转型升级基地。健全屠宰延链，做大做强农畜公司、昊康牧业公司，推进品牌肉制品规范化生产，建成乡村振兴牛肉冷链物园、保口福熟肉制品加工等项目，打造静宁优质牛肉地方和企业品牌。循环利用聚链，争取实施养殖粪污资源化利用整县推进项目，发展以草定畜、以肥促草、种养结合、良性循环的现代畜牧产业，打造省级种养循环现代农业示范园。到2025年，全县牛饲养量突破20万头、出栏10万头，秸秆青贮年均40万吨以上，综合产值达到10亿元以上。</w:t>
      </w:r>
      <w:r>
        <w:rPr>
          <w:rFonts w:ascii="Times New Roman" w:hAnsi="Times New Roman" w:eastAsia="楷体_GB2312" w:cs="Times New Roman"/>
          <w:b/>
          <w:bCs/>
          <w:sz w:val="32"/>
          <w:szCs w:val="32"/>
        </w:rPr>
        <w:t>（责任单位：县农业农村局、县乡村振兴局、县工信局、县商务局、县市场监管局、县发改局、县财政局、县自然资源局、县畜牧兽医中心、县招商服务中心，各乡镇党委、政府）</w:t>
      </w:r>
    </w:p>
    <w:p>
      <w:pPr>
        <w:overflowPunct w:val="0"/>
        <w:topLinePunct/>
        <w:adjustRightInd w:val="0"/>
        <w:snapToGrid w:val="0"/>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（九）加快发展特色蔬菜产业。</w:t>
      </w:r>
      <w:r>
        <w:rPr>
          <w:rFonts w:ascii="Times New Roman" w:hAnsi="Times New Roman" w:eastAsia="仿宋_GB2312" w:cs="Times New Roman"/>
          <w:color w:val="000000"/>
          <w:sz w:val="32"/>
          <w:szCs w:val="32"/>
        </w:rPr>
        <w:t>坚持有机、绿色、无公害发展方向，因地制宜、重点突破和区域推进的原则，按照相对集中、规模发展、突出效益的要求，加快推进特色蔬菜“三线三区”产业布局，即：持续建设国道312沿线、静秦公路沿线、X093公路沿线为主的设施蔬菜生产区，灵芝、原安、三合等西北部乡镇为主的黄花菜套种南瓜特色高原夏菜生产区，仁大、李店、余湾等中南部乡镇为主的小弓棚西瓜套种辣椒特色瓜菜生产区，南部特色瓜菜生产区，构建现代育苗、基地建设、贮藏保鲜、冷链物流、精深加工、科技支撑、质量安全等为一体的全链条蔬菜产业发展格局。精心培育界石铺李堡、细巷韩川、城川红旗、司桥司桥等4个特色蔬菜产业基地，建设城川靳寺、界石高堡、细巷谭店等集观光休闲、农事参与、寓教于乐的现代果蔬产业园。开展集约化工厂育苗，巩固提升食用菌和黄花菜产业，推广“菜—沼—畜”等生产循环模式，建设种养结合型生态循环示范园。加大绿色蔬菜基地、产品和品牌认证，发展精细分拣、包装和冷链物流，提升分选精度和冷藏冷运能力，鼓励开展蔬菜电商配送，提高保供稳供能力。到2025年，全县蔬菜种植面积稳定在10万亩，设施蔬菜面积达到1万亩以上，产量达到15万吨，全产业链综合产值达到5亿元。</w:t>
      </w:r>
      <w:r>
        <w:rPr>
          <w:rFonts w:ascii="Times New Roman" w:hAnsi="Times New Roman" w:eastAsia="楷体_GB2312" w:cs="Times New Roman"/>
          <w:b/>
          <w:bCs/>
          <w:color w:val="000000"/>
          <w:sz w:val="32"/>
          <w:szCs w:val="32"/>
        </w:rPr>
        <w:t>（责任单位：县农业农村局、县乡村振兴局、县商务局、县市场监管局、县发改局、县财政局、县自然资源局、县招商服务中心，各乡镇党委、政府）</w:t>
      </w:r>
    </w:p>
    <w:p>
      <w:pPr>
        <w:overflowPunct w:val="0"/>
        <w:topLinePunct/>
        <w:adjustRightInd w:val="0"/>
        <w:snapToGrid w:val="0"/>
        <w:spacing w:line="60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bCs/>
          <w:sz w:val="32"/>
          <w:szCs w:val="32"/>
        </w:rPr>
        <w:t>（十）提效发展绿色建材及制造产业。</w:t>
      </w:r>
      <w:r>
        <w:rPr>
          <w:rFonts w:ascii="Times New Roman" w:hAnsi="Times New Roman" w:eastAsia="仿宋_GB2312" w:cs="Times New Roman"/>
          <w:color w:val="000000"/>
          <w:sz w:val="32"/>
          <w:szCs w:val="32"/>
        </w:rPr>
        <w:t>坚持技改与创新并举，依托煤矸石、红粘土、石料等资源优势，开发新型墙体材料、节能复合砌块等建筑材料和装饰材料，建成麻峡建筑石料用砂岩矿绿色开采利用项目。引进与绿色建材、机械制造等相关的上下游企业，建设建筑垃圾及固废物回收加工再利用项目，建成节约资源、低碳生产的建材产业集群，加大新型建材推广应用力度，建筑业新型墙材使用率达到85%以上。坚持创新驱动发展，充分发挥兴安民爆公司在西部地区的品牌优势，加快机器人在生产线的推广应用，基本实现炸药、雷管生产线自动化和智能化，生产工艺、安全水平达到行业领先，实现利税1000万元以上。到2025年，绿色建材及制造业综合产值达到5亿元以上。</w:t>
      </w:r>
      <w:r>
        <w:rPr>
          <w:rFonts w:ascii="Times New Roman" w:hAnsi="Times New Roman" w:eastAsia="楷体_GB2312" w:cs="Times New Roman"/>
          <w:b/>
          <w:bCs/>
          <w:color w:val="000000"/>
          <w:sz w:val="32"/>
          <w:szCs w:val="32"/>
        </w:rPr>
        <w:t>（责任单位：工业园区、县工信局、县发改局、县财政局、县科技局、县住建局、县自然资源局、县招商服务中心、成纪兴业投资集团公司、阿阳产业投资集团公司）</w:t>
      </w:r>
    </w:p>
    <w:p>
      <w:pPr>
        <w:overflowPunct w:val="0"/>
        <w:snapToGrid w:val="0"/>
        <w:spacing w:line="600" w:lineRule="exact"/>
        <w:ind w:firstLine="643" w:firstLineChars="200"/>
        <w:rPr>
          <w:rFonts w:ascii="Times New Roman" w:hAnsi="Times New Roman" w:eastAsia="楷体_GB2312" w:cs="Times New Roman"/>
          <w:b/>
          <w:bCs/>
          <w:color w:val="000000"/>
          <w:sz w:val="32"/>
          <w:szCs w:val="32"/>
        </w:rPr>
      </w:pPr>
      <w:r>
        <w:rPr>
          <w:rFonts w:ascii="Times New Roman" w:hAnsi="Times New Roman" w:eastAsia="楷体_GB2312" w:cs="Times New Roman"/>
          <w:b/>
          <w:kern w:val="0"/>
          <w:sz w:val="32"/>
          <w:szCs w:val="32"/>
        </w:rPr>
        <w:t>（十一）积极发展文旅康养产业。</w:t>
      </w:r>
      <w:r>
        <w:rPr>
          <w:rFonts w:ascii="Times New Roman" w:hAnsi="Times New Roman" w:eastAsia="仿宋_GB2312" w:cs="Times New Roman"/>
          <w:color w:val="000000"/>
          <w:sz w:val="32"/>
          <w:szCs w:val="32"/>
        </w:rPr>
        <w:t>聚焦“文游体学智”全产业链，深度挖掘成纪文化、苹果文化和红色文化，打响“华夏之根·红色圣地·金果家园”特色文化旅游名片，培育发展寻根问祖线、红色旅游线、苹果文化观光线等精品旅游路线，积极争创省级全域旅游示范区。保护成纪故城遗址，续建35°苹果谷景区，持续打造旅游样板村，加大悬镜湖旅游资源开发，健全完善旅游基础设施。大力发展度假酒店、农家客栈等，加大静宁烧鸡、静宁大饼等特色风味小吃的宣传推介力度，不断提升旅游接待能力和服务档次，将静宁打造为集红色教育、田园体验、运动拓展、休闲健身、乡村写生等于一体的红色旅游研学基地和乡村旅游打卡点。建成老年养护院和社区养老服务设施，建设虹桥医养康复中心、成纪康养中心，拓展居家养老服务平台，激励成立社会养老服务机构，推进文旅与体育、健康、养老等产业融合发展。到2025年，全县文化产业机构数达到200个，旅游专业村达到25个，文旅康养产业综合产值达到10亿元。</w:t>
      </w:r>
      <w:r>
        <w:rPr>
          <w:rFonts w:ascii="Times New Roman" w:hAnsi="Times New Roman" w:eastAsia="楷体_GB2312" w:cs="Times New Roman"/>
          <w:b/>
          <w:bCs/>
          <w:color w:val="000000"/>
          <w:sz w:val="32"/>
          <w:szCs w:val="32"/>
        </w:rPr>
        <w:t>（责任单位：县文旅局、县发改局、县财政局、县教育局、县民政局、县交运局、县商务局、成纪兴业投资集团公司、阿阳产业投资集团公司）</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（十二）循环发展生态环保产业。</w:t>
      </w:r>
      <w:r>
        <w:rPr>
          <w:rFonts w:ascii="Times New Roman" w:hAnsi="Times New Roman" w:eastAsia="仿宋_GB2312" w:cs="Times New Roman"/>
          <w:color w:val="000000"/>
          <w:sz w:val="32"/>
          <w:szCs w:val="32"/>
        </w:rPr>
        <w:t>深入践行习近平生态文明思想，统筹山水林田湖草系统治理，以植树造林、生态修复、河湖治理、污染防治、污水处理、水系连接、矿产开发、地质灾害治理、生物质综合利用为重点，促进生态产业化、产业生态化，努力把生态价值转化为经济价值，建</w:t>
      </w:r>
      <w:r>
        <w:rPr>
          <w:rFonts w:hint="eastAsia" w:ascii="Times New Roman" w:hAnsi="Times New Roman" w:eastAsia="仿宋_GB2312" w:cs="Times New Roman"/>
          <w:color w:val="000000"/>
          <w:sz w:val="32"/>
          <w:szCs w:val="32"/>
        </w:rPr>
        <w:t>设黄河流域葫芦河生态综合治理与乡村振兴发展</w:t>
      </w:r>
      <w:r>
        <w:rPr>
          <w:rFonts w:ascii="Times New Roman" w:hAnsi="Times New Roman" w:eastAsia="仿宋_GB2312" w:cs="Times New Roman"/>
          <w:color w:val="000000"/>
          <w:sz w:val="32"/>
          <w:szCs w:val="32"/>
        </w:rPr>
        <w:t>EOD项目。围绕低碳节能、污染防治、资源综合利用等重点领域，推广应用节能环保新技术、新装备，规划建设新能源汽车充电设施及服务体系，支持恒达公司实施热电联产改造，加快建设再生资源交易市场及综合利用基地项目，实施建筑废弃物、废旧电器、报废汽车回收及无害化处理以及资源化利用示范工程，培育形成1～2户年拥有自主知识产权的节能环保龙头企业，逐步形成涵盖产品制造、产品应用、节能环保服务为一体的节能环保产业体系。到2025年，生态环保产业综合产值达到5亿元。</w:t>
      </w:r>
      <w:r>
        <w:rPr>
          <w:rFonts w:ascii="Times New Roman" w:hAnsi="Times New Roman" w:eastAsia="楷体_GB2312" w:cs="Times New Roman"/>
          <w:b/>
          <w:bCs/>
          <w:color w:val="000000"/>
          <w:sz w:val="32"/>
          <w:szCs w:val="32"/>
        </w:rPr>
        <w:t>（责任单位：县发改局、县自然资源局、县生态环境局、县工信局、县农业农村局、县林草局、县水务局，阿阳产业投资集团公司，各乡镇党委、政府）</w:t>
      </w:r>
    </w:p>
    <w:p>
      <w:pPr>
        <w:spacing w:line="600" w:lineRule="exact"/>
        <w:ind w:firstLine="643" w:firstLineChars="200"/>
        <w:rPr>
          <w:rFonts w:ascii="Times New Roman" w:hAnsi="Times New Roman" w:eastAsia="楷体_GB2312" w:cs="Times New Roman"/>
          <w:b/>
          <w:bCs/>
          <w:color w:val="000000" w:themeColor="text1"/>
          <w:sz w:val="32"/>
          <w:szCs w:val="32"/>
          <w14:textFill>
            <w14:solidFill>
              <w14:schemeClr w14:val="tx1"/>
            </w14:solidFill>
          </w14:textFill>
        </w:rPr>
      </w:pPr>
      <w:r>
        <w:rPr>
          <w:rFonts w:ascii="Times New Roman" w:hAnsi="Times New Roman" w:eastAsia="楷体_GB2312" w:cs="Times New Roman"/>
          <w:b/>
          <w:bCs/>
          <w:color w:val="000000" w:themeColor="text1"/>
          <w:sz w:val="32"/>
          <w:szCs w:val="32"/>
          <w14:textFill>
            <w14:solidFill>
              <w14:schemeClr w14:val="tx1"/>
            </w14:solidFill>
          </w14:textFill>
        </w:rPr>
        <w:t>（十三）完善工业园区平台载体功能。</w:t>
      </w:r>
      <w:r>
        <w:rPr>
          <w:rFonts w:hint="eastAsia" w:ascii="Times New Roman" w:hAnsi="Times New Roman" w:eastAsia="仿宋_GB2312" w:cs="Times New Roman"/>
          <w:color w:val="000000" w:themeColor="text1"/>
          <w:sz w:val="32"/>
          <w:szCs w:val="32"/>
          <w14:textFill>
            <w14:solidFill>
              <w14:schemeClr w14:val="tx1"/>
            </w14:solidFill>
          </w14:textFill>
        </w:rPr>
        <w:t>优化园区功能布局，按照</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智能</w:t>
      </w:r>
      <w:r>
        <w:rPr>
          <w:rFonts w:hint="eastAsia" w:ascii="Times New Roman" w:hAnsi="Times New Roman" w:eastAsia="仿宋_GB2312" w:cs="Times New Roman"/>
          <w:color w:val="000000" w:themeColor="text1"/>
          <w:sz w:val="32"/>
          <w:szCs w:val="32"/>
          <w14:textFill>
            <w14:solidFill>
              <w14:schemeClr w14:val="tx1"/>
            </w14:solidFill>
          </w14:textFill>
        </w:rPr>
        <w:t>制造园、农副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产</w:t>
      </w:r>
      <w:r>
        <w:rPr>
          <w:rFonts w:hint="eastAsia" w:ascii="Times New Roman" w:hAnsi="Times New Roman" w:eastAsia="仿宋_GB2312" w:cs="Times New Roman"/>
          <w:color w:val="000000" w:themeColor="text1"/>
          <w:sz w:val="32"/>
          <w:szCs w:val="32"/>
          <w14:textFill>
            <w14:solidFill>
              <w14:schemeClr w14:val="tx1"/>
            </w14:solidFill>
          </w14:textFill>
        </w:rPr>
        <w:t>品加工园、商贸物流园“一区三园”布局关联产业，将威戎工业集中区纳入园区规划管理，推动形成“核心区+辐射区”发展格局。</w:t>
      </w:r>
      <w:r>
        <w:rPr>
          <w:rFonts w:ascii="Times New Roman" w:hAnsi="Times New Roman" w:eastAsia="仿宋_GB2312" w:cs="Times New Roman"/>
          <w:color w:val="000000" w:themeColor="text1"/>
          <w:sz w:val="32"/>
          <w:szCs w:val="32"/>
          <w14:textFill>
            <w14:solidFill>
              <w14:schemeClr w14:val="tx1"/>
            </w14:solidFill>
          </w14:textFill>
        </w:rPr>
        <w:t>充分发挥成欣工业发展公司作用，提升市场化运作、资本化运营能力</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提升园区产业承载力和发展能级</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支持各类资本参与园区基础设施、公共平台和特色产业园的投资运营，</w:t>
      </w:r>
      <w:r>
        <w:rPr>
          <w:rFonts w:hint="eastAsia" w:ascii="Times New Roman" w:hAnsi="Times New Roman" w:eastAsia="仿宋_GB2312" w:cs="Times New Roman"/>
          <w:color w:val="000000" w:themeColor="text1"/>
          <w:sz w:val="32"/>
          <w:szCs w:val="32"/>
          <w14:textFill>
            <w14:solidFill>
              <w14:schemeClr w14:val="tx1"/>
            </w14:solidFill>
          </w14:textFill>
        </w:rPr>
        <w:t>建成</w:t>
      </w:r>
      <w:r>
        <w:rPr>
          <w:rFonts w:ascii="Times New Roman" w:hAnsi="Times New Roman" w:eastAsia="仿宋_GB2312" w:cs="Times New Roman"/>
          <w:color w:val="000000" w:themeColor="text1"/>
          <w:sz w:val="32"/>
          <w:szCs w:val="32"/>
          <w14:textFill>
            <w14:solidFill>
              <w14:schemeClr w14:val="tx1"/>
            </w14:solidFill>
          </w14:textFill>
        </w:rPr>
        <w:t>国家农村产业融合发展示范园。</w:t>
      </w:r>
      <w:r>
        <w:rPr>
          <w:rFonts w:hint="eastAsia" w:ascii="Times New Roman" w:hAnsi="Times New Roman" w:eastAsia="仿宋_GB2312" w:cs="Times New Roman"/>
          <w:color w:val="000000" w:themeColor="text1"/>
          <w:sz w:val="32"/>
          <w:szCs w:val="32"/>
          <w14:textFill>
            <w14:solidFill>
              <w14:schemeClr w14:val="tx1"/>
            </w14:solidFill>
          </w14:textFill>
        </w:rPr>
        <w:t>加快推进园区</w:t>
      </w:r>
      <w:r>
        <w:rPr>
          <w:rFonts w:ascii="Times New Roman" w:hAnsi="Times New Roman" w:eastAsia="仿宋_GB2312" w:cs="Times New Roman"/>
          <w:color w:val="000000" w:themeColor="text1"/>
          <w:sz w:val="32"/>
          <w:szCs w:val="32"/>
          <w14:textFill>
            <w14:solidFill>
              <w14:schemeClr w14:val="tx1"/>
            </w14:solidFill>
          </w14:textFill>
        </w:rPr>
        <w:t>与中心城区路网、供热、供气等基础设施互联互通</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改造静西路（G566）园区段</w:t>
      </w:r>
      <w:r>
        <w:rPr>
          <w:rFonts w:hint="eastAsia" w:ascii="Times New Roman" w:hAnsi="Times New Roman" w:eastAsia="仿宋_GB2312" w:cs="Times New Roman"/>
          <w:color w:val="000000" w:themeColor="text1"/>
          <w:sz w:val="32"/>
          <w:szCs w:val="32"/>
          <w14:textFill>
            <w14:solidFill>
              <w14:schemeClr w14:val="tx1"/>
            </w14:solidFill>
          </w14:textFill>
        </w:rPr>
        <w:t>，新建来凤三路西段、来凤四路西段、汽车服务和农机具产业区道路</w:t>
      </w:r>
      <w:r>
        <w:rPr>
          <w:rFonts w:ascii="Times New Roman" w:hAnsi="Times New Roman" w:eastAsia="仿宋_GB2312" w:cs="Times New Roman"/>
          <w:color w:val="000000" w:themeColor="text1"/>
          <w:sz w:val="32"/>
          <w:szCs w:val="32"/>
          <w14:textFill>
            <w14:solidFill>
              <w14:schemeClr w14:val="tx1"/>
            </w14:solidFill>
          </w14:textFill>
        </w:rPr>
        <w:t>基础设施</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建成园区集中供热</w:t>
      </w:r>
      <w:r>
        <w:rPr>
          <w:rFonts w:hint="eastAsia" w:ascii="Times New Roman" w:hAnsi="Times New Roman" w:eastAsia="仿宋_GB2312" w:cs="Times New Roman"/>
          <w:color w:val="000000" w:themeColor="text1"/>
          <w:sz w:val="32"/>
          <w:szCs w:val="32"/>
          <w14:textFill>
            <w14:solidFill>
              <w14:schemeClr w14:val="tx1"/>
            </w14:solidFill>
          </w14:textFill>
        </w:rPr>
        <w:t>工程。</w:t>
      </w:r>
      <w:r>
        <w:rPr>
          <w:rFonts w:ascii="Times New Roman" w:hAnsi="Times New Roman" w:eastAsia="仿宋_GB2312" w:cs="Times New Roman"/>
          <w:color w:val="000000" w:themeColor="text1"/>
          <w:sz w:val="32"/>
          <w:szCs w:val="32"/>
          <w14:textFill>
            <w14:solidFill>
              <w14:schemeClr w14:val="tx1"/>
            </w14:solidFill>
          </w14:textFill>
        </w:rPr>
        <w:t>加快推进技术、资金、土地、劳动力和项目等要素向工业园区倾斜，纵深推进园区管理改革，稳步推行“管委会＋开发运营公司”管理模式，落实区域化评估机制，</w:t>
      </w:r>
      <w:r>
        <w:rPr>
          <w:rFonts w:hint="eastAsia" w:ascii="Times New Roman" w:hAnsi="Times New Roman" w:eastAsia="仿宋_GB2312" w:cs="Times New Roman"/>
          <w:color w:val="000000" w:themeColor="text1"/>
          <w:sz w:val="32"/>
          <w:szCs w:val="32"/>
          <w14:textFill>
            <w14:solidFill>
              <w14:schemeClr w14:val="tx1"/>
            </w14:solidFill>
          </w14:textFill>
        </w:rPr>
        <w:t>积极</w:t>
      </w:r>
      <w:r>
        <w:rPr>
          <w:rFonts w:ascii="Times New Roman" w:hAnsi="Times New Roman" w:eastAsia="仿宋_GB2312" w:cs="Times New Roman"/>
          <w:color w:val="000000" w:themeColor="text1"/>
          <w:sz w:val="32"/>
          <w:szCs w:val="32"/>
          <w14:textFill>
            <w14:solidFill>
              <w14:schemeClr w14:val="tx1"/>
            </w14:solidFill>
          </w14:textFill>
        </w:rPr>
        <w:t>推行“标准地”出让改革。到2025年，力争把园区建成新型工业发展引领区、体制创新先行区和高水平营商环境管理区。</w:t>
      </w:r>
      <w:r>
        <w:rPr>
          <w:rFonts w:ascii="Times New Roman" w:hAnsi="Times New Roman" w:eastAsia="楷体_GB2312" w:cs="Times New Roman"/>
          <w:b/>
          <w:bCs/>
          <w:color w:val="000000" w:themeColor="text1"/>
          <w:sz w:val="32"/>
          <w:szCs w:val="32"/>
          <w14:textFill>
            <w14:solidFill>
              <w14:schemeClr w14:val="tx1"/>
            </w14:solidFill>
          </w14:textFill>
        </w:rPr>
        <w:t>（责任单位：工业园区、县发改局、县工信局、县商务局、县自然资源局</w:t>
      </w:r>
      <w:r>
        <w:rPr>
          <w:rFonts w:hint="eastAsia" w:ascii="Times New Roman" w:hAnsi="Times New Roman" w:eastAsia="楷体_GB2312" w:cs="Times New Roman"/>
          <w:b/>
          <w:bCs/>
          <w:color w:val="000000" w:themeColor="text1"/>
          <w:sz w:val="32"/>
          <w:szCs w:val="32"/>
          <w14:textFill>
            <w14:solidFill>
              <w14:schemeClr w14:val="tx1"/>
            </w14:solidFill>
          </w14:textFill>
        </w:rPr>
        <w:t>、</w:t>
      </w:r>
      <w:r>
        <w:rPr>
          <w:rFonts w:ascii="Times New Roman" w:hAnsi="Times New Roman" w:eastAsia="楷体_GB2312" w:cs="Times New Roman"/>
          <w:b/>
          <w:bCs/>
          <w:color w:val="000000"/>
          <w:sz w:val="32"/>
          <w:szCs w:val="32"/>
        </w:rPr>
        <w:t>成纪兴业投资集团公司、阿阳产业投资集团公司</w:t>
      </w:r>
      <w:r>
        <w:rPr>
          <w:rFonts w:ascii="Times New Roman" w:hAnsi="Times New Roman" w:eastAsia="楷体_GB2312" w:cs="Times New Roman"/>
          <w:b/>
          <w:bCs/>
          <w:color w:val="000000" w:themeColor="text1"/>
          <w:sz w:val="32"/>
          <w:szCs w:val="32"/>
          <w14:textFill>
            <w14:solidFill>
              <w14:schemeClr w14:val="tx1"/>
            </w14:solidFill>
          </w14:textFill>
        </w:rPr>
        <w:t>）</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（十四）优化人力资源配置供给。</w:t>
      </w:r>
      <w:r>
        <w:rPr>
          <w:rFonts w:ascii="Times New Roman" w:hAnsi="Times New Roman" w:eastAsia="仿宋_GB2312" w:cs="Times New Roman"/>
          <w:sz w:val="32"/>
          <w:szCs w:val="32"/>
        </w:rPr>
        <w:t>落实高校毕业生基层服务计划，做好“特岗计划”“大学生志愿服务西部计划”等基层服务项目，积极鼓励引导大学毕业生在我县就业发展。落实“归雁工程”优惠政策和创新人才引进政策，支持和鼓励各类人才回乡创业就业，实施一批创业带动就业示范项目，提升科技支撑和就业带动能力。实施劳动者职业技能提升计划，统筹发挥企业、职教中心和各类培训机构作用，聚焦重点产业链发展和新就业形态用工需求，加大订单式培训力度，提升我县人力资源供给率。实施“双创”带动就业示范项目，完善促进创业带动就业、多渠道灵活就业的保障制度，支持和规范发展新就业形态，围绕家政服务、养老托育、乡村旅游、健康服务等就业潜力大、社会急需的服务领域，开展“双创”带动就业示范</w:t>
      </w:r>
      <w:r>
        <w:rPr>
          <w:rFonts w:ascii="Times New Roman" w:hAnsi="Times New Roman" w:eastAsia="楷体_GB2312" w:cs="Times New Roman"/>
          <w:b/>
          <w:bCs/>
          <w:sz w:val="32"/>
          <w:szCs w:val="32"/>
        </w:rPr>
        <w:t>（责任单位：县委组织部、县人社局、县教育局、县财政局、工业园区）</w:t>
      </w:r>
    </w:p>
    <w:p>
      <w:pPr>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w:t>
      </w:r>
      <w:r>
        <w:rPr>
          <w:rFonts w:hint="eastAsia" w:ascii="Times New Roman" w:hAnsi="Times New Roman" w:eastAsia="黑体" w:cs="Times New Roman"/>
          <w:sz w:val="32"/>
          <w:szCs w:val="32"/>
        </w:rPr>
        <w:t>完善</w:t>
      </w:r>
      <w:r>
        <w:rPr>
          <w:rFonts w:ascii="Times New Roman" w:hAnsi="Times New Roman" w:eastAsia="黑体" w:cs="Times New Roman"/>
          <w:sz w:val="32"/>
          <w:szCs w:val="32"/>
        </w:rPr>
        <w:t>商业服务体系，提升</w:t>
      </w:r>
      <w:r>
        <w:rPr>
          <w:rFonts w:hint="eastAsia" w:ascii="Times New Roman" w:hAnsi="Times New Roman" w:eastAsia="黑体" w:cs="Times New Roman"/>
          <w:sz w:val="32"/>
          <w:szCs w:val="32"/>
        </w:rPr>
        <w:t>县城总体消费水平</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（十五）完善商贸流通网络。</w:t>
      </w:r>
      <w:r>
        <w:rPr>
          <w:rFonts w:ascii="Times New Roman" w:hAnsi="Times New Roman" w:eastAsia="仿宋_GB2312" w:cs="Times New Roman"/>
          <w:sz w:val="32"/>
          <w:szCs w:val="32"/>
        </w:rPr>
        <w:t>构建“以县城为核心、中心乡镇为支点、其他乡镇为基础”的商贸发展格局，建立覆盖城乡、功能完善、信息配套、快捷高效的县乡村三级商贸流通网络。完善</w:t>
      </w:r>
      <w:r>
        <w:rPr>
          <w:rFonts w:hint="eastAsia" w:ascii="Times New Roman" w:hAnsi="Times New Roman" w:eastAsia="仿宋_GB2312" w:cs="Times New Roman"/>
          <w:sz w:val="32"/>
          <w:szCs w:val="32"/>
        </w:rPr>
        <w:t>城区</w:t>
      </w:r>
      <w:r>
        <w:rPr>
          <w:rFonts w:ascii="Times New Roman" w:hAnsi="Times New Roman" w:eastAsia="仿宋_GB2312" w:cs="Times New Roman"/>
          <w:sz w:val="32"/>
          <w:szCs w:val="32"/>
        </w:rPr>
        <w:t>商业网点结构布局，</w:t>
      </w:r>
      <w:r>
        <w:rPr>
          <w:rFonts w:hint="eastAsia" w:ascii="Times New Roman" w:hAnsi="Times New Roman" w:eastAsia="仿宋_GB2312" w:cs="Times New Roman"/>
          <w:sz w:val="32"/>
          <w:szCs w:val="32"/>
        </w:rPr>
        <w:t>建成</w:t>
      </w:r>
      <w:r>
        <w:rPr>
          <w:rFonts w:ascii="Times New Roman" w:hAnsi="Times New Roman" w:eastAsia="仿宋_GB2312" w:cs="Times New Roman"/>
          <w:sz w:val="32"/>
          <w:szCs w:val="32"/>
        </w:rPr>
        <w:t>东城区农产品批发市场，优化金果博览城、西综市场等城区市场功能布局，整合重组汽修汽配、建材批发、家具饰品等现有市场，形成布局合理、分区经营、功能完善、便捷高效的市场格局，构建集购物、休闲等于一体的城市综合服务体系。推进城区商圈宜购、宜食、宜游、宜娱商业环境改造提升，形成集购物、餐饮、住宿、娱乐等功能于一体的城镇街景。</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界石铺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仁大</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乡镇新建具有公益性质的农贸市场，推动农贸市场等各类便民市场快速发展。抢抓“一带一路”</w:t>
      </w:r>
      <w:r>
        <w:rPr>
          <w:rFonts w:hint="eastAsia" w:ascii="Times New Roman" w:hAnsi="Times New Roman" w:eastAsia="仿宋_GB2312" w:cs="Times New Roman"/>
          <w:sz w:val="32"/>
          <w:szCs w:val="32"/>
          <w:lang w:val="en-US" w:eastAsia="zh-CN"/>
        </w:rPr>
        <w:t>倡议</w:t>
      </w:r>
      <w:bookmarkStart w:id="0" w:name="_GoBack"/>
      <w:bookmarkEnd w:id="0"/>
      <w:r>
        <w:rPr>
          <w:rFonts w:ascii="Times New Roman" w:hAnsi="Times New Roman" w:eastAsia="仿宋_GB2312" w:cs="Times New Roman"/>
          <w:sz w:val="32"/>
          <w:szCs w:val="32"/>
        </w:rPr>
        <w:t>实施重大机遇，加强与周边县区的物流网络协作，持续推进城乡流通网络体系建设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建成京东物流园生活物资大仓基地、威戎新区乡村振兴冷链物流园</w:t>
      </w:r>
      <w:r>
        <w:rPr>
          <w:rFonts w:hint="eastAsia" w:ascii="Times New Roman" w:hAnsi="Times New Roman" w:eastAsia="仿宋_GB2312" w:cs="Times New Roman"/>
          <w:sz w:val="32"/>
          <w:szCs w:val="32"/>
        </w:rPr>
        <w:t>、仁大苹果产地冷链物流园</w:t>
      </w:r>
      <w:r>
        <w:rPr>
          <w:rFonts w:ascii="Times New Roman" w:hAnsi="Times New Roman" w:eastAsia="仿宋_GB2312" w:cs="Times New Roman"/>
          <w:sz w:val="32"/>
          <w:szCs w:val="32"/>
        </w:rPr>
        <w:t>。健全电商物流供应链，建设农村电商扶贫及现代物流配送体系，搭建全县智慧物流网络平台，打通农村电商物流配送“最后一公里”。</w:t>
      </w:r>
      <w:r>
        <w:rPr>
          <w:rFonts w:ascii="Times New Roman" w:hAnsi="Times New Roman" w:eastAsia="楷体_GB2312" w:cs="Times New Roman"/>
          <w:b/>
          <w:bCs/>
          <w:sz w:val="32"/>
          <w:szCs w:val="32"/>
        </w:rPr>
        <w:t>（责任单位：县商务局、县发改局、县交通运输局、县农业农村局、县供销社</w:t>
      </w:r>
      <w:r>
        <w:rPr>
          <w:rFonts w:hint="eastAsia" w:ascii="Times New Roman" w:hAnsi="Times New Roman" w:eastAsia="楷体_GB2312" w:cs="Times New Roman"/>
          <w:b/>
          <w:bCs/>
          <w:sz w:val="32"/>
          <w:szCs w:val="32"/>
        </w:rPr>
        <w:t>、</w:t>
      </w:r>
      <w:r>
        <w:rPr>
          <w:rFonts w:ascii="Times New Roman" w:hAnsi="Times New Roman" w:eastAsia="楷体_GB2312" w:cs="Times New Roman"/>
          <w:b/>
          <w:bCs/>
          <w:color w:val="000000"/>
          <w:sz w:val="32"/>
          <w:szCs w:val="32"/>
        </w:rPr>
        <w:t>阿阳产业投资集团公司</w:t>
      </w:r>
      <w:r>
        <w:rPr>
          <w:rFonts w:ascii="Times New Roman" w:hAnsi="Times New Roman" w:eastAsia="楷体_GB2312" w:cs="Times New Roman"/>
          <w:b/>
          <w:bCs/>
          <w:sz w:val="32"/>
          <w:szCs w:val="32"/>
        </w:rPr>
        <w:t>）</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（十六）促进消费扩容提质。</w:t>
      </w:r>
      <w:r>
        <w:rPr>
          <w:rFonts w:ascii="Times New Roman" w:hAnsi="Times New Roman" w:eastAsia="仿宋_GB2312" w:cs="Times New Roman"/>
          <w:sz w:val="32"/>
          <w:szCs w:val="32"/>
        </w:rPr>
        <w:t>围绕产业转型升级和居民消费升级需求，改善县城消费环境。提升居民吃穿用消费品质，大力发展便利店、社区菜店等社区商业，推动社区团购生鲜平台发展。提升旅游休闲消费品质，加快旅游公共服务体系建设，狠抓“旅游+”等产业深度融合。发掘文化体育消费潜力，推动体育与旅游、健康等融合发展，推动体育场馆低收费、免费向社会开放。支持传统零售业向多业态、智能化商城转型，引导互联网企业与实体店合作，推动线上精准营销和线下真实体验。大力推动电商进社区，开展网订店取、网订店送、线下体验线上购买、社区配送、预约服务等业务。</w:t>
      </w:r>
      <w:r>
        <w:rPr>
          <w:rFonts w:ascii="Times New Roman" w:hAnsi="Times New Roman" w:eastAsia="楷体_GB2312" w:cs="Times New Roman"/>
          <w:b/>
          <w:bCs/>
          <w:sz w:val="32"/>
          <w:szCs w:val="32"/>
        </w:rPr>
        <w:t>（责任单位：县商务局、县住建局、县交通运输局、县农业农村局、县乡村振兴局、县供销社）</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（十七）提高金融服务水平。</w:t>
      </w:r>
      <w:r>
        <w:rPr>
          <w:rFonts w:ascii="Times New Roman" w:hAnsi="Times New Roman" w:eastAsia="仿宋_GB2312" w:cs="Times New Roman"/>
          <w:sz w:val="32"/>
          <w:szCs w:val="32"/>
        </w:rPr>
        <w:t>优化县城金融服务网点布局，提高县城商业银行网点覆盖率。支持各类金融组织向农村延伸网点和机构，延伸服务触角。发展数字普惠金融，创新金融服务“三农”方式，大力推进“甘农贷”金融助力乡村振兴示范工程，积极引导扩大农业保险覆盖面。切实发挥乡村振兴基金引导作用，撬动更多社会资本参与乡村建设及产业发展。加强产业、财政、金融政策统筹协调，完善金融风险分担机制，引导金融机构和产业投融资平台紧密对接全县产业链结构及链上企业，扩大金融有效供给，满足产业链多元化的金融需求。</w:t>
      </w:r>
      <w:r>
        <w:rPr>
          <w:rFonts w:ascii="Times New Roman" w:hAnsi="Times New Roman" w:eastAsia="楷体_GB2312" w:cs="Times New Roman"/>
          <w:b/>
          <w:bCs/>
          <w:sz w:val="32"/>
          <w:szCs w:val="32"/>
        </w:rPr>
        <w:t>（责任单位：县政府金融办、县财政局、县发改局、县农业农村局、人行静宁支行）</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w:t>
      </w:r>
      <w:r>
        <w:rPr>
          <w:rFonts w:hint="eastAsia" w:ascii="Times New Roman" w:hAnsi="Times New Roman" w:eastAsia="黑体" w:cs="Times New Roman"/>
          <w:sz w:val="32"/>
          <w:szCs w:val="32"/>
        </w:rPr>
        <w:t>完善基础设施体系</w:t>
      </w:r>
      <w:r>
        <w:rPr>
          <w:rFonts w:ascii="Times New Roman" w:hAnsi="Times New Roman" w:eastAsia="黑体" w:cs="Times New Roman"/>
          <w:sz w:val="32"/>
          <w:szCs w:val="32"/>
        </w:rPr>
        <w:t>，</w:t>
      </w:r>
      <w:r>
        <w:rPr>
          <w:rFonts w:hint="eastAsia" w:ascii="Times New Roman" w:hAnsi="Times New Roman" w:eastAsia="黑体" w:cs="Times New Roman"/>
          <w:sz w:val="32"/>
          <w:szCs w:val="32"/>
        </w:rPr>
        <w:t>提升县城支撑保障水平</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（十八）构建综合交通运输网络。</w:t>
      </w:r>
      <w:r>
        <w:rPr>
          <w:rFonts w:ascii="Times New Roman" w:hAnsi="Times New Roman" w:eastAsia="仿宋_GB2312" w:cs="Times New Roman"/>
          <w:sz w:val="32"/>
          <w:szCs w:val="32"/>
        </w:rPr>
        <w:t>加快补齐铁路、公路、客货运枢纽等交通基础设施短板，建设贯通南北、连接东西、内畅外联的立体交通网络，提升综合交通运输服务能力。配合做好定西至平凉铁路静宁段建设，提升我县与中东部地区的通达水平和联通效率。争取建设静宁至通渭高速公路，贯通全县公路大动脉。持续推进普通国省道二级改造，</w:t>
      </w:r>
      <w:r>
        <w:rPr>
          <w:rFonts w:hint="eastAsia" w:ascii="Times New Roman" w:hAnsi="Times New Roman" w:eastAsia="仿宋_GB2312" w:cs="Times New Roman"/>
          <w:sz w:val="32"/>
          <w:szCs w:val="32"/>
        </w:rPr>
        <w:t>建成</w:t>
      </w:r>
      <w:r>
        <w:rPr>
          <w:rFonts w:ascii="Times New Roman" w:hAnsi="Times New Roman" w:eastAsia="仿宋_GB2312" w:cs="Times New Roman"/>
          <w:sz w:val="32"/>
          <w:szCs w:val="32"/>
        </w:rPr>
        <w:t>G566西吉-天水公路闫庙至静宁段</w:t>
      </w:r>
      <w:r>
        <w:rPr>
          <w:rFonts w:hint="eastAsia" w:ascii="Times New Roman" w:hAnsi="Times New Roman" w:eastAsia="仿宋_GB2312" w:cs="Times New Roman"/>
          <w:sz w:val="32"/>
          <w:szCs w:val="32"/>
        </w:rPr>
        <w:t>，争取建设</w:t>
      </w:r>
      <w:r>
        <w:rPr>
          <w:rFonts w:ascii="Times New Roman" w:hAnsi="Times New Roman" w:eastAsia="仿宋_GB2312" w:cs="Times New Roman"/>
          <w:sz w:val="32"/>
          <w:szCs w:val="32"/>
        </w:rPr>
        <w:t>S524雷大</w:t>
      </w:r>
      <w:r>
        <w:rPr>
          <w:rFonts w:hint="eastAsia" w:ascii="Times New Roman" w:hAnsi="Times New Roman" w:eastAsia="仿宋_GB2312" w:cs="Times New Roman"/>
          <w:sz w:val="32"/>
          <w:szCs w:val="32"/>
        </w:rPr>
        <w:t>至</w:t>
      </w:r>
      <w:r>
        <w:rPr>
          <w:rFonts w:ascii="Times New Roman" w:hAnsi="Times New Roman" w:eastAsia="仿宋_GB2312" w:cs="Times New Roman"/>
          <w:sz w:val="32"/>
          <w:szCs w:val="32"/>
        </w:rPr>
        <w:t>双岘</w:t>
      </w:r>
      <w:r>
        <w:rPr>
          <w:rFonts w:hint="eastAsia" w:ascii="Times New Roman" w:hAnsi="Times New Roman" w:eastAsia="仿宋_GB2312" w:cs="Times New Roman"/>
          <w:sz w:val="32"/>
          <w:szCs w:val="32"/>
        </w:rPr>
        <w:t>段。改建完成</w:t>
      </w:r>
      <w:r>
        <w:rPr>
          <w:rFonts w:ascii="Times New Roman" w:hAnsi="Times New Roman" w:eastAsia="仿宋_GB2312" w:cs="Times New Roman"/>
          <w:sz w:val="32"/>
          <w:szCs w:val="32"/>
        </w:rPr>
        <w:t>X096线甘沟至四河</w:t>
      </w:r>
      <w:r>
        <w:rPr>
          <w:rFonts w:hint="eastAsia" w:ascii="Times New Roman" w:hAnsi="Times New Roman" w:eastAsia="仿宋_GB2312" w:cs="Times New Roman"/>
          <w:sz w:val="32"/>
          <w:szCs w:val="32"/>
        </w:rPr>
        <w:t>公路，力争</w:t>
      </w:r>
      <w:r>
        <w:rPr>
          <w:rFonts w:ascii="Times New Roman" w:hAnsi="Times New Roman" w:eastAsia="仿宋_GB2312" w:cs="Times New Roman"/>
          <w:sz w:val="32"/>
          <w:szCs w:val="32"/>
        </w:rPr>
        <w:t>所有乡镇通三级以上公路。推动“四好农村路”高质量发展，加快自然村（组）通硬化路建设，打通农村断头路、出口路，改造提升产业路，推动农村公路联片成网进社入户，提高农村道路通行能力。新建四级公路360公里，维修提质农村公路140公里以上，实施村道安防工程384公里，农村公路整体安全水平得到提升。</w:t>
      </w:r>
      <w:r>
        <w:rPr>
          <w:rFonts w:ascii="Times New Roman" w:hAnsi="Times New Roman" w:eastAsia="楷体_GB2312" w:cs="Times New Roman"/>
          <w:b/>
          <w:bCs/>
          <w:sz w:val="32"/>
          <w:szCs w:val="32"/>
        </w:rPr>
        <w:t>（责任单位：县交通运输局、县住建局、县发改局）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（十九）切实增强能源供给能力。</w:t>
      </w:r>
      <w:r>
        <w:rPr>
          <w:rFonts w:ascii="Times New Roman" w:hAnsi="Times New Roman" w:eastAsia="仿宋_GB2312" w:cs="Times New Roman"/>
          <w:sz w:val="32"/>
          <w:szCs w:val="32"/>
        </w:rPr>
        <w:t>以提高能源发展质量和效益为中心，优化能源功能布局，提升能源保障水平，构建清洁低碳、安全高效的现代能源体系。优化电网网架结构，平衡容载比，形成110千伏主干线路供电，持续开展配电网和农网改造，推动智能电网建设，提高城市中压配电网互供转带负荷能力和装备技术水平，提升电力综合保障能力。立足我县丰富的风光资源禀赋，有序发展光伏和风力发电，建成威戎</w:t>
      </w:r>
      <w:r>
        <w:rPr>
          <w:rFonts w:hint="eastAsia" w:ascii="Times New Roman" w:hAnsi="Times New Roman" w:eastAsia="仿宋_GB2312" w:cs="Times New Roman"/>
          <w:sz w:val="32"/>
          <w:szCs w:val="32"/>
        </w:rPr>
        <w:t>100MW</w:t>
      </w:r>
      <w:r>
        <w:rPr>
          <w:rFonts w:ascii="Times New Roman" w:hAnsi="Times New Roman" w:eastAsia="仿宋_GB2312" w:cs="Times New Roman"/>
          <w:sz w:val="32"/>
          <w:szCs w:val="32"/>
        </w:rPr>
        <w:t>光伏发电项目。整合党政机关、学校、医院等公共建筑、工商业厂房以及农村居民等屋顶资源及电网接入消纳条件，开展屋顶分布式光伏建设。依托中贵线输气管道、兰郑长成品油管道，加快重点乡镇天然气管网建设，扩大天然气覆盖范围。推进天然气储气设施建设，提高初期规模和应急调峰能力。优化完善加油、加气站规划布局，新建加油站6座，加气站4座，同步配套充电桩200台，构建统筹城乡、方便快捷的油气电服务网络。</w:t>
      </w:r>
      <w:r>
        <w:rPr>
          <w:rFonts w:ascii="Times New Roman" w:hAnsi="Times New Roman" w:eastAsia="楷体_GB2312" w:cs="Times New Roman"/>
          <w:b/>
          <w:bCs/>
          <w:sz w:val="32"/>
          <w:szCs w:val="32"/>
        </w:rPr>
        <w:t>（责任单位：县发改局、县工信局、县住建局、县自然资源局、</w:t>
      </w:r>
      <w:r>
        <w:rPr>
          <w:rFonts w:hint="eastAsia" w:ascii="Times New Roman" w:hAnsi="Times New Roman" w:eastAsia="楷体_GB2312" w:cs="Times New Roman"/>
          <w:b/>
          <w:bCs/>
          <w:sz w:val="32"/>
          <w:szCs w:val="32"/>
        </w:rPr>
        <w:t>县生态环境局</w:t>
      </w:r>
      <w:r>
        <w:rPr>
          <w:rFonts w:ascii="Times New Roman" w:hAnsi="Times New Roman" w:eastAsia="楷体_GB2312" w:cs="Times New Roman"/>
          <w:b/>
          <w:bCs/>
          <w:sz w:val="32"/>
          <w:szCs w:val="32"/>
        </w:rPr>
        <w:t>，国网平凉供电公司静宁分公司）</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（二十）完善城乡供水保障设施。</w:t>
      </w:r>
      <w:r>
        <w:rPr>
          <w:rFonts w:ascii="Times New Roman" w:hAnsi="Times New Roman" w:eastAsia="仿宋_GB2312" w:cs="Times New Roman"/>
          <w:sz w:val="32"/>
          <w:szCs w:val="32"/>
        </w:rPr>
        <w:t>加大县城水源地保护力度，实施水源地保护生态修复治理工程，加大水源地水质监测，持续开展水源地保护区环保问题排查整治。加快推进引洮供水二期配套城乡供水工程，争取实施引洮供水二期静宁县东部人饮供水工程、白龙江调水工程，全面提升供水安全保障水平。围绕乡村振兴和农村基础设施改善，实施农村供水保障工程、农村供水管网提升改造和智能水表更换工程，深入开展农村居民饮用水达标提标行动，加强供水管网完善和老旧管网更换，改造提升农村饮水安全工程13处，保障农村饮水安全，促进城乡供水一体化、网络化、智能化，实现农村供水水源稳定、管道畅通、水质达标、管理规范。</w:t>
      </w:r>
      <w:r>
        <w:rPr>
          <w:rFonts w:ascii="Times New Roman" w:hAnsi="Times New Roman" w:eastAsia="楷体_GB2312" w:cs="Times New Roman"/>
          <w:b/>
          <w:bCs/>
          <w:sz w:val="32"/>
          <w:szCs w:val="32"/>
        </w:rPr>
        <w:t>（责任单位：县水务局、</w:t>
      </w:r>
      <w:r>
        <w:rPr>
          <w:rFonts w:hint="eastAsia" w:ascii="Times New Roman" w:hAnsi="Times New Roman" w:eastAsia="楷体_GB2312" w:cs="Times New Roman"/>
          <w:b/>
          <w:bCs/>
          <w:sz w:val="32"/>
          <w:szCs w:val="32"/>
        </w:rPr>
        <w:t>县生态环境局</w:t>
      </w:r>
      <w:r>
        <w:rPr>
          <w:rFonts w:ascii="Times New Roman" w:hAnsi="Times New Roman" w:eastAsia="楷体_GB2312" w:cs="Times New Roman"/>
          <w:b/>
          <w:bCs/>
          <w:sz w:val="32"/>
          <w:szCs w:val="32"/>
        </w:rPr>
        <w:t>、县住建局、县发改局、县自然资源局）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（二十一）持续改善市政交通设施。</w:t>
      </w:r>
      <w:r>
        <w:rPr>
          <w:rFonts w:ascii="Times New Roman" w:hAnsi="Times New Roman" w:eastAsia="仿宋_GB2312" w:cs="Times New Roman"/>
          <w:sz w:val="32"/>
          <w:szCs w:val="32"/>
        </w:rPr>
        <w:t>拉开“七纵九横”城市道路框架，新建东关路、东环东路，改扩建永福巷、富康路等城区道路，打通“断头路”，畅通</w:t>
      </w:r>
      <w:r>
        <w:rPr>
          <w:rFonts w:hint="eastAsia" w:ascii="Times New Roman" w:hAnsi="Times New Roman" w:eastAsia="仿宋_GB2312" w:cs="Times New Roman"/>
          <w:sz w:val="32"/>
          <w:szCs w:val="32"/>
        </w:rPr>
        <w:t>城区</w:t>
      </w:r>
      <w:r>
        <w:rPr>
          <w:rFonts w:ascii="Times New Roman" w:hAnsi="Times New Roman" w:eastAsia="仿宋_GB2312" w:cs="Times New Roman"/>
          <w:sz w:val="32"/>
          <w:szCs w:val="32"/>
        </w:rPr>
        <w:t>交通循环网。优化城市道路网络功能，按照“打通断头路，建设环城路，改造损毁路，消除瓶颈路”思路，结合城市更新行动，大力推进城区道路畅通工程，优化机动车道、非机动车道、人行道和“港湾式”公交站点设置，加快市政道路拓宽改造。加快公共交通使用新能源汽车比重，在</w:t>
      </w:r>
      <w:r>
        <w:rPr>
          <w:rFonts w:hint="eastAsia" w:ascii="Times New Roman" w:hAnsi="Times New Roman" w:eastAsia="仿宋_GB2312" w:cs="Times New Roman"/>
          <w:sz w:val="32"/>
          <w:szCs w:val="32"/>
        </w:rPr>
        <w:t>县城停车场</w:t>
      </w:r>
      <w:r>
        <w:rPr>
          <w:rFonts w:ascii="Times New Roman" w:hAnsi="Times New Roman" w:eastAsia="仿宋_GB2312" w:cs="Times New Roman"/>
          <w:sz w:val="32"/>
          <w:szCs w:val="32"/>
        </w:rPr>
        <w:t>等公共区域配建充电设施。加快推进城区停车设施智能化改造，有效解决“停车难”问题。完善公路客运站服务功能，建设公共交通场站，优化县城与邻近人口较多镇、经济发达镇的公交站点布设，提高交通出行便利度。</w:t>
      </w:r>
      <w:r>
        <w:rPr>
          <w:rFonts w:ascii="Times New Roman" w:hAnsi="Times New Roman" w:eastAsia="楷体_GB2312" w:cs="Times New Roman"/>
          <w:b/>
          <w:bCs/>
          <w:sz w:val="32"/>
          <w:szCs w:val="32"/>
        </w:rPr>
        <w:t>（责任单位：县住建局、县交运局、县发改局）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（二十二）提升防洪排涝减灾能力。</w:t>
      </w:r>
      <w:r>
        <w:rPr>
          <w:rFonts w:ascii="Times New Roman" w:hAnsi="Times New Roman" w:eastAsia="仿宋_GB2312" w:cs="Times New Roman"/>
          <w:sz w:val="32"/>
          <w:szCs w:val="32"/>
        </w:rPr>
        <w:t>坚持规划引领、生态优先、安全为重、因地制宜，按照“自然渗透、自然积存、自然净化、循环利用、泄排通畅”的要求，统筹建筑与小区、道路与广场、绿地与公园、城市水系建设，在确保城</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排水防涝安全的前提下，增强雨水吸纳、蓄渗和缓释功能，进一步改善城市生态环境。建设源头减排、蓄排结合、排涝除险、超标应急的城市防洪排涝体系，提高城市防洪排涝能力，消除城市严重易涝积水区段，基本解决城市内涝问题。</w:t>
      </w:r>
      <w:r>
        <w:rPr>
          <w:rFonts w:ascii="Times New Roman" w:hAnsi="Times New Roman" w:eastAsia="楷体_GB2312" w:cs="Times New Roman"/>
          <w:b/>
          <w:bCs/>
          <w:sz w:val="32"/>
          <w:szCs w:val="32"/>
        </w:rPr>
        <w:t>（责任单位：县住建局、县水务局、县自然资源局、县发改局</w:t>
      </w:r>
      <w:r>
        <w:rPr>
          <w:rFonts w:hint="eastAsia" w:ascii="Times New Roman" w:hAnsi="Times New Roman" w:eastAsia="楷体_GB2312" w:cs="Times New Roman"/>
          <w:b/>
          <w:bCs/>
          <w:sz w:val="32"/>
          <w:szCs w:val="32"/>
        </w:rPr>
        <w:t>、县执法局、县公用事业管理局</w:t>
      </w:r>
      <w:r>
        <w:rPr>
          <w:rFonts w:ascii="Times New Roman" w:hAnsi="Times New Roman" w:eastAsia="楷体_GB2312" w:cs="Times New Roman"/>
          <w:b/>
          <w:bCs/>
          <w:sz w:val="32"/>
          <w:szCs w:val="32"/>
        </w:rPr>
        <w:t>）</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（二十三）建立健全应急保障体系。</w:t>
      </w:r>
      <w:r>
        <w:rPr>
          <w:rFonts w:ascii="Times New Roman" w:hAnsi="Times New Roman" w:eastAsia="仿宋_GB2312" w:cs="Times New Roman"/>
          <w:sz w:val="32"/>
          <w:szCs w:val="32"/>
        </w:rPr>
        <w:t>健全应急管理体制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快构建“大安全、大应急、大减灾”体系，健全统一领导、专常兼备、反应灵敏、上下联动的应急管理体制，全面提高公共安全保障能力。提高自然灾害和重大事故预测预警能力，制定重大风险应对预案，积极开展事故灾害综合风险评估和隐患排查治理，加强应急救灾物资储备能力和应急专业队伍建设，提升应急管理科学化、专业化、智能化、精细化水平，提高防灾、减灾、抗灾、救灾能力。健全市政公用设施常态化管护机制，确保设施运行稳定安全。完善交通物流、供电供水、信息通讯等生命线备用设施。严格落实安全生产责任制，加强安全生产监督管理，强化对危化品、矿山、道路交通、消防等重点行业领域的安全风险经常性排查和专项整治，坚决遏制危险化学品、矿山、建筑施工、交通等较大以上安全事故。强化生物安全保护，构建生物安全风险防范机制，加强食品药品监管和执法力度，切实保障人民群众饮食用药安全。依托公园、广场、绿地、体育场等，加强城市应急避难场所建设，强化体育场馆等公共设施和建筑的应急功能。加强公立医院传染病救治设施和疾控中心建设，健全传染病疫情和突发公共卫生事件监测系统，完善公共卫生重大风险研判、评估、决策、防控协同机制和分级分层分流疫情救助机制，建立专常兼备、反应灵敏、上下联动的公共卫生应急响应体系。加强人防组织指挥、人员防护、目标防护、专业力量、支撑保障体系建设，全面提升战时防空、平时服务、应急支援能力。</w:t>
      </w:r>
      <w:r>
        <w:rPr>
          <w:rFonts w:ascii="Times New Roman" w:hAnsi="Times New Roman" w:eastAsia="楷体_GB2312" w:cs="Times New Roman"/>
          <w:b/>
          <w:bCs/>
          <w:sz w:val="32"/>
          <w:szCs w:val="32"/>
        </w:rPr>
        <w:t>（责任单位：县应急管理局、县卫健局、县自然资源局、县住建局、县水务局、县文旅局）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（二十四）有序推进城市更新。</w:t>
      </w:r>
      <w:r>
        <w:rPr>
          <w:rFonts w:ascii="Times New Roman" w:hAnsi="Times New Roman" w:eastAsia="仿宋_GB2312" w:cs="Times New Roman"/>
          <w:sz w:val="32"/>
          <w:szCs w:val="32"/>
        </w:rPr>
        <w:t>开展“城市体检”行动，下功夫提升城市服务功能和系统治理能力。把城市作为“有机生命体”，推进城镇低效用地再开发，盘活土地价值，实现城市资源效率最大化和城市可持续发展。实施老旧小区改造，利用老旧小区现状房屋和公共空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补充便民商业、养老服务、停车位、外挂电梯等公共服务设施，对具备条件的地下空间进行复合利用，“十四五”末基本完成2005年底前建成的老旧小区改造任务。</w:t>
      </w:r>
      <w:r>
        <w:rPr>
          <w:rFonts w:ascii="Times New Roman" w:hAnsi="Times New Roman" w:eastAsia="楷体_GB2312" w:cs="Times New Roman"/>
          <w:b/>
          <w:bCs/>
          <w:sz w:val="32"/>
          <w:szCs w:val="32"/>
        </w:rPr>
        <w:t>（责任单位：县住建局、县执法局、县水务局、县发改局）</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（二十五）加快推进数字化改造提升。</w:t>
      </w:r>
      <w:r>
        <w:rPr>
          <w:rFonts w:ascii="Times New Roman" w:hAnsi="Times New Roman" w:eastAsia="仿宋_GB2312" w:cs="Times New Roman"/>
          <w:sz w:val="32"/>
          <w:szCs w:val="32"/>
        </w:rPr>
        <w:t>加快推进5G网络</w:t>
      </w:r>
      <w:r>
        <w:rPr>
          <w:rFonts w:hint="eastAsia" w:ascii="Times New Roman" w:hAnsi="Times New Roman" w:eastAsia="仿宋_GB2312" w:cs="Times New Roman"/>
          <w:sz w:val="32"/>
          <w:szCs w:val="32"/>
        </w:rPr>
        <w:t>基站</w:t>
      </w:r>
      <w:r>
        <w:rPr>
          <w:rFonts w:ascii="Times New Roman" w:hAnsi="Times New Roman" w:eastAsia="仿宋_GB2312" w:cs="Times New Roman"/>
          <w:sz w:val="32"/>
          <w:szCs w:val="32"/>
        </w:rPr>
        <w:t>建设，与发达地区同步实现5G部署。加</w:t>
      </w:r>
      <w:r>
        <w:rPr>
          <w:rFonts w:hint="eastAsia" w:ascii="Times New Roman" w:hAnsi="Times New Roman" w:eastAsia="仿宋_GB2312" w:cs="Times New Roman"/>
          <w:sz w:val="32"/>
          <w:szCs w:val="32"/>
        </w:rPr>
        <w:t>快</w:t>
      </w:r>
      <w:r>
        <w:rPr>
          <w:rFonts w:ascii="Times New Roman" w:hAnsi="Times New Roman" w:eastAsia="仿宋_GB2312" w:cs="Times New Roman"/>
          <w:sz w:val="32"/>
          <w:szCs w:val="32"/>
        </w:rPr>
        <w:t>云计算、区块链、人工智能等</w:t>
      </w:r>
      <w:r>
        <w:rPr>
          <w:rFonts w:hint="eastAsia" w:ascii="Times New Roman" w:hAnsi="Times New Roman" w:eastAsia="仿宋_GB2312" w:cs="Times New Roman"/>
          <w:sz w:val="32"/>
          <w:szCs w:val="32"/>
        </w:rPr>
        <w:t>新一代信息基础设施建设，争建三级大数据应用管理中心和数字政府，推行县城运行一网统管，鼓励新建楼宇、市政公用设施物联传感、智能预测应用和智慧化改造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大力推进县城综合管网“一张图”数字化管理，部署智能电表、水表、燃气表等感知终端，提升县城运行管理智能化、精细化水平。</w:t>
      </w:r>
      <w:r>
        <w:rPr>
          <w:rFonts w:ascii="Times New Roman" w:hAnsi="Times New Roman" w:eastAsia="仿宋_GB2312" w:cs="Times New Roman"/>
          <w:sz w:val="32"/>
          <w:szCs w:val="32"/>
        </w:rPr>
        <w:t>全面推进新型智慧城市建设，在教育、医疗、社保、就业、城市治理等公共服务领域搭建统一技术构架，依托智慧城市公共信息平台，实现公共信息资源共建、共用和共享。推进实施“互联网+制造”、“互联网+小微企业”行动，加快移动信息技术在企业研发、制造、管理、服务等产业链中的应用，建成一批“互联网+”试点示范企业。</w:t>
      </w:r>
      <w:r>
        <w:rPr>
          <w:rFonts w:ascii="Times New Roman" w:hAnsi="Times New Roman" w:eastAsia="楷体_GB2312" w:cs="Times New Roman"/>
          <w:b/>
          <w:bCs/>
          <w:sz w:val="32"/>
          <w:szCs w:val="32"/>
        </w:rPr>
        <w:t>（责任单位：县工信局、县商务局、县卫健局、县教育局、县大数据中心、县政务服务中心，中国电信静宁分公司、中国移动静宁分公司、中国联通静宁分公司、中国铁塔静宁分公司）</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w:t>
      </w:r>
      <w:r>
        <w:rPr>
          <w:rFonts w:hint="eastAsia" w:ascii="Times New Roman" w:hAnsi="Times New Roman" w:eastAsia="黑体" w:cs="Times New Roman"/>
          <w:sz w:val="32"/>
          <w:szCs w:val="32"/>
        </w:rPr>
        <w:t>完善</w:t>
      </w:r>
      <w:r>
        <w:rPr>
          <w:rFonts w:ascii="Times New Roman" w:hAnsi="Times New Roman" w:eastAsia="黑体" w:cs="Times New Roman"/>
          <w:sz w:val="32"/>
          <w:szCs w:val="32"/>
        </w:rPr>
        <w:t>公共服务</w:t>
      </w:r>
      <w:r>
        <w:rPr>
          <w:rFonts w:hint="eastAsia" w:ascii="Times New Roman" w:hAnsi="Times New Roman" w:eastAsia="黑体" w:cs="Times New Roman"/>
          <w:sz w:val="32"/>
          <w:szCs w:val="32"/>
        </w:rPr>
        <w:t>体系</w:t>
      </w:r>
      <w:r>
        <w:rPr>
          <w:rFonts w:ascii="Times New Roman" w:hAnsi="Times New Roman" w:eastAsia="黑体" w:cs="Times New Roman"/>
          <w:sz w:val="32"/>
          <w:szCs w:val="32"/>
        </w:rPr>
        <w:t>，</w:t>
      </w:r>
      <w:r>
        <w:rPr>
          <w:rFonts w:hint="eastAsia" w:ascii="Times New Roman" w:hAnsi="Times New Roman" w:eastAsia="黑体" w:cs="Times New Roman"/>
          <w:sz w:val="32"/>
          <w:szCs w:val="32"/>
        </w:rPr>
        <w:t>提升县城民生保障水平</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（二十六）健全医疗卫生服务设施。</w:t>
      </w:r>
      <w:r>
        <w:rPr>
          <w:rFonts w:ascii="Times New Roman" w:hAnsi="Times New Roman" w:eastAsia="仿宋_GB2312" w:cs="Times New Roman"/>
          <w:sz w:val="32"/>
          <w:szCs w:val="32"/>
        </w:rPr>
        <w:t>巩固县医院三级乙等综合医院创建成果，推进县中医院创建三级中医</w:t>
      </w:r>
      <w:r>
        <w:rPr>
          <w:rFonts w:hint="eastAsia" w:ascii="Times New Roman" w:hAnsi="Times New Roman" w:eastAsia="仿宋_GB2312" w:cs="Times New Roman"/>
          <w:sz w:val="32"/>
          <w:szCs w:val="32"/>
        </w:rPr>
        <w:t>医</w:t>
      </w:r>
      <w:r>
        <w:rPr>
          <w:rFonts w:ascii="Times New Roman" w:hAnsi="Times New Roman" w:eastAsia="仿宋_GB2312" w:cs="Times New Roman"/>
          <w:sz w:val="32"/>
          <w:szCs w:val="32"/>
        </w:rPr>
        <w:t>院，新建托育中心业务楼、县医院医技综合楼，实施第二人民医院医疗服务能力提升、疾控中心检测检验及应急能力提升项目，全面提升县级医疗保健综合服务能力。完成四河、灵芝卫生院整体迁建，新建甘沟、李店中心卫生院业务楼，大力改善乡村医疗条件。持续加大全科医生培养、紧缺人才引进、名院名科共建力度，着力创建特色医疗服务。深化医药卫生体制改革，完善分级诊疗体系，推进国家组织药品和耗材集中采购使用改革。加强重大疾病干预，提升健康教育、慢病管理和残疾康复服务质量，重视精神卫生和心理健康。探索“互联网＋医疗”服务，完善远程医疗体系，提高医疗卫生信息化水平。健全卫生监督体系，加强医疗机构用药管理，确保群众用药安全。支持社会力量办医，鼓励支持社会资本举办专科医疗机构和第三方检验检测等机构，有效补充公立医院紧缺的医疗资源。</w:t>
      </w:r>
      <w:r>
        <w:rPr>
          <w:rFonts w:ascii="Times New Roman" w:hAnsi="Times New Roman" w:eastAsia="楷体_GB2312" w:cs="Times New Roman"/>
          <w:b/>
          <w:bCs/>
          <w:sz w:val="32"/>
          <w:szCs w:val="32"/>
        </w:rPr>
        <w:t>（责任单位：县卫健局、县文旅局、县农业农村局）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（二十七）扩大优质教育资源供给。</w:t>
      </w:r>
      <w:r>
        <w:rPr>
          <w:rFonts w:ascii="Times New Roman" w:hAnsi="Times New Roman" w:eastAsia="仿宋_GB2312" w:cs="Times New Roman"/>
          <w:sz w:val="32"/>
          <w:szCs w:val="32"/>
        </w:rPr>
        <w:t>大力发展公办幼儿园，支持办好普惠性民办幼儿园，</w:t>
      </w:r>
      <w:r>
        <w:rPr>
          <w:rFonts w:hint="eastAsia" w:ascii="Times New Roman" w:hAnsi="Times New Roman" w:eastAsia="仿宋_GB2312" w:cs="Times New Roman"/>
          <w:sz w:val="32"/>
          <w:szCs w:val="32"/>
        </w:rPr>
        <w:t>建设第四、第五幼儿园</w:t>
      </w:r>
      <w:r>
        <w:rPr>
          <w:rFonts w:ascii="Times New Roman" w:hAnsi="Times New Roman" w:eastAsia="仿宋_GB2312" w:cs="Times New Roman"/>
          <w:sz w:val="32"/>
          <w:szCs w:val="32"/>
        </w:rPr>
        <w:t>。统筹推进优质均衡、城乡一体发展的义务教育，新建新城小学综合实验楼、德顺小学综合楼、三中综合实验楼、城关初中运动场、甘沟中心小学教师周转宿舍。办好特殊教育学校，健全特殊教育保障机制，补齐普通学校随班就读资源短板，保障残疾儿童少年接受教育权利，适龄残疾少年儿童入学率不断提高。多样化、特色化、优质化发展高中教育，巩固提升静宁一中省级示范性普通高中办学成果，加力促进静宁二中、文萃中学探索创新、挖潜增效，加强威戎中学、成纪中学、甘沟中学等农村普通高中基础建设。推动职业技术实用高效发展，深化职普融通、产教融合、校企合作，促进“双元”育人，新建职教中心实训基地，改善办学条件。到2025年，学前三年毛入园率达到96%，义务教育巩固率达到98%以上，高中阶段毛入学率达到98%以上，职普招生比例大体相当。</w:t>
      </w:r>
      <w:r>
        <w:rPr>
          <w:rFonts w:ascii="Times New Roman" w:hAnsi="Times New Roman" w:eastAsia="楷体_GB2312" w:cs="Times New Roman"/>
          <w:b/>
          <w:bCs/>
          <w:sz w:val="32"/>
          <w:szCs w:val="32"/>
        </w:rPr>
        <w:t>（责任单位：县教育局、县财政局、县发改局）</w:t>
      </w:r>
    </w:p>
    <w:p>
      <w:pPr>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ascii="Times New Roman" w:hAnsi="Times New Roman" w:eastAsia="楷体_GB2312" w:cs="Times New Roman"/>
          <w:b/>
          <w:bCs/>
          <w:sz w:val="32"/>
          <w:szCs w:val="32"/>
        </w:rPr>
        <w:t>十八</w:t>
      </w:r>
      <w:r>
        <w:rPr>
          <w:rFonts w:hint="eastAsia" w:ascii="Times New Roman" w:hAnsi="Times New Roman" w:eastAsia="楷体_GB2312" w:cs="Times New Roman"/>
          <w:b/>
          <w:bCs/>
          <w:sz w:val="32"/>
          <w:szCs w:val="32"/>
        </w:rPr>
        <w:t>）</w:t>
      </w:r>
      <w:r>
        <w:rPr>
          <w:rFonts w:ascii="Times New Roman" w:hAnsi="Times New Roman" w:eastAsia="楷体_GB2312" w:cs="Times New Roman"/>
          <w:b/>
          <w:bCs/>
          <w:sz w:val="32"/>
          <w:szCs w:val="32"/>
        </w:rPr>
        <w:t>大力发展养老托育服务。</w:t>
      </w:r>
      <w:r>
        <w:rPr>
          <w:rFonts w:ascii="Times New Roman" w:hAnsi="Times New Roman" w:eastAsia="仿宋_GB2312" w:cs="Times New Roman"/>
          <w:sz w:val="32"/>
          <w:szCs w:val="32"/>
        </w:rPr>
        <w:t>积极应对人口老龄化，着力构建居家养老与社区养老相协调、医养康养相结合的现代化养老服务体系。扩大普惠性养老服务供给，建成老年养护院，建设成纪康养中心、虹桥医养康复中心。</w:t>
      </w:r>
      <w:r>
        <w:rPr>
          <w:rFonts w:hint="eastAsia" w:ascii="Times New Roman" w:hAnsi="Times New Roman" w:eastAsia="仿宋_GB2312" w:cs="Times New Roman"/>
          <w:sz w:val="32"/>
          <w:szCs w:val="32"/>
        </w:rPr>
        <w:t>积极发展托育设施，</w:t>
      </w:r>
      <w:r>
        <w:rPr>
          <w:rFonts w:ascii="Times New Roman" w:hAnsi="Times New Roman" w:eastAsia="仿宋_GB2312" w:cs="Times New Roman"/>
          <w:sz w:val="32"/>
          <w:szCs w:val="32"/>
        </w:rPr>
        <w:t>倡导依托社区建立托育服务机构，鼓励有条件的用人单位在工作场所为职工提供托育服务，积极营造婴幼儿照护友好的社会环境</w:t>
      </w:r>
      <w:r>
        <w:rPr>
          <w:rFonts w:hint="eastAsia" w:ascii="Times New Roman" w:hAnsi="Times New Roman" w:eastAsia="仿宋_GB2312" w:cs="Times New Roman"/>
          <w:sz w:val="32"/>
          <w:szCs w:val="32"/>
        </w:rPr>
        <w:t>，争取建设县城</w:t>
      </w:r>
      <w:r>
        <w:rPr>
          <w:rFonts w:ascii="Times New Roman" w:hAnsi="Times New Roman" w:eastAsia="仿宋_GB2312" w:cs="Times New Roman"/>
          <w:sz w:val="32"/>
          <w:szCs w:val="32"/>
        </w:rPr>
        <w:t>托育中心。加大扶持政策力度，支持社会力量发展综合托育服务机构和社区托育服务设施。落实托育机构监管制度，引导托育机构规范有序健康发展。</w:t>
      </w:r>
      <w:r>
        <w:rPr>
          <w:rFonts w:ascii="Times New Roman" w:hAnsi="Times New Roman" w:eastAsia="楷体_GB2312" w:cs="Times New Roman"/>
          <w:b/>
          <w:bCs/>
          <w:sz w:val="32"/>
          <w:szCs w:val="32"/>
        </w:rPr>
        <w:t>（责任单位：县民政局、县住建局、县教育局、县卫健局、县发改局）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（二十九）持续改善社会福利设施。</w:t>
      </w:r>
      <w:r>
        <w:rPr>
          <w:rFonts w:ascii="Times New Roman" w:hAnsi="Times New Roman" w:eastAsia="仿宋_GB2312" w:cs="Times New Roman"/>
          <w:snapToGrid w:val="0"/>
          <w:kern w:val="0"/>
          <w:sz w:val="32"/>
          <w:szCs w:val="32"/>
        </w:rPr>
        <w:t>健全残疾人关爱服务体系，完善残疾人康复、托养服务设施功能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建成残疾人康复中心康养服务能力提升项目，谋划实施残疾人日间照料中心残疾人无障碍改造等项目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不断</w:t>
      </w:r>
      <w:r>
        <w:rPr>
          <w:rFonts w:hint="eastAsia" w:ascii="Times New Roman" w:hAnsi="Times New Roman" w:eastAsia="仿宋_GB2312" w:cs="Times New Roman"/>
          <w:sz w:val="32"/>
          <w:szCs w:val="32"/>
        </w:rPr>
        <w:t>完善</w:t>
      </w:r>
      <w:r>
        <w:rPr>
          <w:rFonts w:ascii="Times New Roman" w:hAnsi="Times New Roman" w:eastAsia="仿宋_GB2312" w:cs="Times New Roman"/>
          <w:sz w:val="32"/>
          <w:szCs w:val="32"/>
        </w:rPr>
        <w:t>殡葬服务</w:t>
      </w:r>
      <w:r>
        <w:rPr>
          <w:rFonts w:hint="eastAsia" w:ascii="Times New Roman" w:hAnsi="Times New Roman" w:eastAsia="仿宋_GB2312" w:cs="Times New Roman"/>
          <w:sz w:val="32"/>
          <w:szCs w:val="32"/>
        </w:rPr>
        <w:t>功能，</w:t>
      </w:r>
      <w:r>
        <w:rPr>
          <w:rFonts w:ascii="Times New Roman" w:hAnsi="Times New Roman" w:eastAsia="仿宋_GB2312" w:cs="Times New Roman"/>
          <w:sz w:val="32"/>
          <w:szCs w:val="32"/>
        </w:rPr>
        <w:t>尽快投使殡仪馆，</w:t>
      </w:r>
      <w:r>
        <w:rPr>
          <w:rFonts w:hint="eastAsia" w:ascii="Times New Roman" w:hAnsi="Times New Roman" w:eastAsia="仿宋_GB2312" w:cs="Times New Roman"/>
          <w:sz w:val="32"/>
          <w:szCs w:val="32"/>
        </w:rPr>
        <w:t>新建</w:t>
      </w:r>
      <w:r>
        <w:rPr>
          <w:rFonts w:ascii="Times New Roman" w:hAnsi="Times New Roman" w:eastAsia="仿宋_GB2312" w:cs="Times New Roman"/>
          <w:sz w:val="32"/>
          <w:szCs w:val="32"/>
        </w:rPr>
        <w:t>公益性公墓1处，有效解决县城群众逝世后无安置地、乱埋乱葬的问题。</w:t>
      </w:r>
      <w:r>
        <w:rPr>
          <w:rFonts w:ascii="Times New Roman" w:hAnsi="Times New Roman" w:eastAsia="楷体_GB2312" w:cs="Times New Roman"/>
          <w:b/>
          <w:bCs/>
          <w:sz w:val="32"/>
          <w:szCs w:val="32"/>
        </w:rPr>
        <w:t>（责任单位：县民政局、县残联、县卫健局、县发改局）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（三十）着力优化文化体育设施。</w:t>
      </w:r>
      <w:r>
        <w:rPr>
          <w:rFonts w:ascii="Times New Roman" w:hAnsi="Times New Roman" w:eastAsia="仿宋_GB2312" w:cs="Times New Roman"/>
          <w:sz w:val="32"/>
          <w:szCs w:val="32"/>
        </w:rPr>
        <w:t>优化公共文化资源配置，着力提升公共文化服务效能。实施文化惠民工程，建成文屏书院、图书馆和文化馆县乡数字化总分馆，推进乡镇综合文化站达标升级，实现“三馆一站”免费开放。实施全民健身服务提升工程，建</w:t>
      </w:r>
      <w:r>
        <w:rPr>
          <w:rFonts w:hint="eastAsia" w:ascii="Times New Roman" w:hAnsi="Times New Roman" w:eastAsia="仿宋_GB2312" w:cs="Times New Roman"/>
          <w:sz w:val="32"/>
          <w:szCs w:val="32"/>
        </w:rPr>
        <w:t>成</w:t>
      </w:r>
      <w:r>
        <w:rPr>
          <w:rFonts w:ascii="Times New Roman" w:hAnsi="Times New Roman" w:eastAsia="仿宋_GB2312" w:cs="Times New Roman"/>
          <w:sz w:val="32"/>
          <w:szCs w:val="32"/>
        </w:rPr>
        <w:t>体育公园、登山步道、乡镇公共体育场等一批体育设施，构建覆盖城乡、普惠共享的公共文化体育服务体系。积极发展群众体育、竞技体育，举办体育越野赛、全民运动会等体育赛事，丰富城乡居民文化体育生活，增强人民体质。</w:t>
      </w:r>
      <w:r>
        <w:rPr>
          <w:rFonts w:ascii="Times New Roman" w:hAnsi="Times New Roman" w:eastAsia="楷体_GB2312" w:cs="Times New Roman"/>
          <w:b/>
          <w:bCs/>
          <w:sz w:val="32"/>
          <w:szCs w:val="32"/>
        </w:rPr>
        <w:t>（责任单位：县文旅局、县教育局、县发改局）</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w:t>
      </w:r>
      <w:r>
        <w:rPr>
          <w:rFonts w:hint="eastAsia" w:ascii="Times New Roman" w:hAnsi="Times New Roman" w:eastAsia="黑体" w:cs="Times New Roman"/>
          <w:sz w:val="32"/>
          <w:szCs w:val="32"/>
        </w:rPr>
        <w:t>加强历史文化和生态保护</w:t>
      </w:r>
      <w:r>
        <w:rPr>
          <w:rFonts w:ascii="Times New Roman" w:hAnsi="Times New Roman" w:eastAsia="黑体" w:cs="Times New Roman"/>
          <w:sz w:val="32"/>
          <w:szCs w:val="32"/>
        </w:rPr>
        <w:t>，</w:t>
      </w:r>
      <w:r>
        <w:rPr>
          <w:rFonts w:hint="eastAsia" w:ascii="Times New Roman" w:hAnsi="Times New Roman" w:eastAsia="黑体" w:cs="Times New Roman"/>
          <w:sz w:val="32"/>
          <w:szCs w:val="32"/>
        </w:rPr>
        <w:t>彰显县城绿色人文风貌</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（三十一）加强人文历史保护传承。</w:t>
      </w:r>
      <w:r>
        <w:rPr>
          <w:rFonts w:ascii="Times New Roman" w:hAnsi="Times New Roman" w:eastAsia="仿宋_GB2312" w:cs="Times New Roman"/>
          <w:sz w:val="32"/>
          <w:szCs w:val="32"/>
        </w:rPr>
        <w:t>实施黄河文化遗产系统保护工程，加大文物和非物质文化遗产抢救性、预防性、主动性保护力度，有序推进成纪故城遗址、静宁文庙等35处文保单位古建筑保护开发利用，传承弘扬历史文化。提升博物馆和文物保护单位公共文化服务水平，强化考古知识和研究成果公众普及。加强文物保护认定，从严打击盗掘、盗窃、非法交易等文化犯罪行为。实施非物质文化遗产传承保护工程，对阿阳民歌、打花鞭、静宁烧鸡制作工艺、静宁民间传说等127项非物质文化遗产系统性保护，争取打花鞭等优秀遗产列入国家级非物质文化遗产保护名录。支持界石铺镇创建红色基因传承创新区。加强城市设计和风貌管控，增加城市历史记忆，融入地方文化元素。</w:t>
      </w:r>
      <w:r>
        <w:rPr>
          <w:rFonts w:ascii="Times New Roman" w:hAnsi="Times New Roman" w:eastAsia="楷体_GB2312" w:cs="Times New Roman"/>
          <w:b/>
          <w:bCs/>
          <w:sz w:val="32"/>
          <w:szCs w:val="32"/>
        </w:rPr>
        <w:t>（责任单位：县文旅局、县住建局）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（三十二）打造县城蓝绿生态空间。</w:t>
      </w:r>
      <w:r>
        <w:rPr>
          <w:rFonts w:ascii="Times New Roman" w:hAnsi="Times New Roman" w:eastAsia="仿宋_GB2312" w:cs="Times New Roman"/>
          <w:sz w:val="32"/>
          <w:szCs w:val="32"/>
        </w:rPr>
        <w:t>扎实开展大规模国土绿化行动，深入实施绿色屏障、绿色长廊、绿色县城、绿色乡村、绿色家园“五绿行动”。高标准实施景观绿化、公园美化工程，</w:t>
      </w:r>
      <w:r>
        <w:rPr>
          <w:rFonts w:hint="eastAsia" w:ascii="Times New Roman" w:hAnsi="Times New Roman" w:eastAsia="仿宋_GB2312" w:cs="Times New Roman"/>
          <w:sz w:val="32"/>
          <w:szCs w:val="32"/>
        </w:rPr>
        <w:t>建成成纪文化广场、</w:t>
      </w:r>
      <w:r>
        <w:rPr>
          <w:rFonts w:ascii="Times New Roman" w:hAnsi="Times New Roman" w:eastAsia="仿宋_GB2312" w:cs="Times New Roman"/>
          <w:sz w:val="32"/>
          <w:szCs w:val="32"/>
        </w:rPr>
        <w:t>西城区武穆路口袋公园、南河运动健身长廊，健全公园绿地服务设施，提升存量绿地品质和功能。</w:t>
      </w:r>
      <w:r>
        <w:rPr>
          <w:rFonts w:hint="eastAsia" w:ascii="Times New Roman" w:hAnsi="Times New Roman" w:eastAsia="仿宋_GB2312" w:cs="Times New Roman"/>
          <w:sz w:val="32"/>
          <w:szCs w:val="32"/>
        </w:rPr>
        <w:t>在</w:t>
      </w:r>
      <w:r>
        <w:rPr>
          <w:rFonts w:ascii="Times New Roman" w:hAnsi="Times New Roman" w:eastAsia="仿宋_GB2312" w:cs="Times New Roman"/>
          <w:sz w:val="32"/>
          <w:szCs w:val="32"/>
        </w:rPr>
        <w:t>乡镇统筹实施美丽乡村绿化添景、生态造林绿化提质等工程，创建国家级森林乡村50个，省级森林小镇10个。严格推行林长制，落实森林防火、封山禁牧、病害防治等措施，构建责任明确、监管严格的森林资源管护机制。坚持山水林田湖草综合治理，加强分流域管治，保护生态屏障，构建生态廊道和生态网络，推进生态系统保护和修复。实施河湖水系综合治理，构筑水土保持、水源涵养、水质净化等综合生态廊带系统。实行最严格的环境保护制度，坚决打好蓝天、碧水、净土保卫战。</w:t>
      </w:r>
      <w:r>
        <w:rPr>
          <w:rFonts w:ascii="Times New Roman" w:hAnsi="Times New Roman" w:eastAsia="楷体_GB2312" w:cs="Times New Roman"/>
          <w:b/>
          <w:bCs/>
          <w:sz w:val="32"/>
          <w:szCs w:val="32"/>
        </w:rPr>
        <w:t>（责任单位：县林草局、县住建局、</w:t>
      </w:r>
      <w:r>
        <w:rPr>
          <w:rFonts w:hint="eastAsia" w:ascii="Times New Roman" w:hAnsi="Times New Roman" w:eastAsia="楷体_GB2312" w:cs="Times New Roman"/>
          <w:b/>
          <w:bCs/>
          <w:sz w:val="32"/>
          <w:szCs w:val="32"/>
        </w:rPr>
        <w:t>县生态环境局</w:t>
      </w:r>
      <w:r>
        <w:rPr>
          <w:rFonts w:ascii="Times New Roman" w:hAnsi="Times New Roman" w:eastAsia="楷体_GB2312" w:cs="Times New Roman"/>
          <w:b/>
          <w:bCs/>
          <w:sz w:val="32"/>
          <w:szCs w:val="32"/>
        </w:rPr>
        <w:t>、县水务局、县自然资源局、县农业农村局）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（三十三）倡导生产生活绿色低碳。</w:t>
      </w:r>
      <w:r>
        <w:rPr>
          <w:rFonts w:ascii="Times New Roman" w:hAnsi="Times New Roman" w:eastAsia="仿宋_GB2312" w:cs="Times New Roman"/>
          <w:sz w:val="32"/>
          <w:szCs w:val="32"/>
        </w:rPr>
        <w:t>坚决遏制“两高”项目发展。在清洁供暖、交通运输等重点领域，推行“以电代煤、以电代油”，提高清洁能源消费占比。实行全面节约战略，倡导简约适度、绿色低碳生活方式，有效降低碳排放。大力发展绿色建筑，推广装配式建筑、节能门窗、绿色建材、绿色照明，全面推行绿色施工。大力推广节能环保运输装备，实施绿色出行，</w:t>
      </w:r>
      <w:r>
        <w:rPr>
          <w:rFonts w:hint="eastAsia" w:ascii="Times New Roman" w:hAnsi="Times New Roman" w:eastAsia="仿宋_GB2312" w:cs="Times New Roman"/>
          <w:sz w:val="32"/>
          <w:szCs w:val="32"/>
        </w:rPr>
        <w:t>积极推行</w:t>
      </w:r>
      <w:r>
        <w:rPr>
          <w:rFonts w:ascii="Times New Roman" w:hAnsi="Times New Roman" w:eastAsia="仿宋_GB2312" w:cs="Times New Roman"/>
          <w:sz w:val="32"/>
          <w:szCs w:val="32"/>
        </w:rPr>
        <w:t>公交、出租车使用新能源车辆，加快道路运输场站充电桩、充电站建设，为节能环保运输车辆提供更便利的服务。推动公共交通工具和物流配送、市政环卫等车辆电动化。推广节能低碳节水用品和环保再生产品，减少一次性消费品和包装用材消耗。</w:t>
      </w:r>
      <w:r>
        <w:rPr>
          <w:rFonts w:ascii="Times New Roman" w:hAnsi="Times New Roman" w:eastAsia="楷体_GB2312" w:cs="Times New Roman"/>
          <w:b/>
          <w:bCs/>
          <w:sz w:val="32"/>
          <w:szCs w:val="32"/>
        </w:rPr>
        <w:t>（责任单位：</w:t>
      </w:r>
      <w:r>
        <w:rPr>
          <w:rFonts w:hint="eastAsia" w:ascii="Times New Roman" w:hAnsi="Times New Roman" w:eastAsia="楷体_GB2312" w:cs="Times New Roman"/>
          <w:b/>
          <w:bCs/>
          <w:sz w:val="32"/>
          <w:szCs w:val="32"/>
        </w:rPr>
        <w:t>县生态环境局</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rPr>
        <w:t>工业园区</w:t>
      </w:r>
      <w:r>
        <w:rPr>
          <w:rFonts w:ascii="Times New Roman" w:hAnsi="Times New Roman" w:eastAsia="楷体_GB2312" w:cs="Times New Roman"/>
          <w:b/>
          <w:bCs/>
          <w:sz w:val="32"/>
          <w:szCs w:val="32"/>
        </w:rPr>
        <w:t>、县住建局、县农业农村局、县工信局、县发改局、县商务局、县市场监管局）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（三十四）提高环境基础设施水平。</w:t>
      </w:r>
      <w:r>
        <w:rPr>
          <w:rFonts w:ascii="Times New Roman" w:hAnsi="Times New Roman" w:eastAsia="仿宋_GB2312" w:cs="Times New Roman"/>
          <w:sz w:val="32"/>
          <w:szCs w:val="32"/>
        </w:rPr>
        <w:t>持续抓好大气污染防治，着力整治“散乱污”企业、散煤、扬尘等重点领域，深化工业源污染治理与重点污染源脱硫脱硝，继续强化机动车污染防治，确保县城大气环境质量控制在国家二类区标准，空气质量二级（优良）标准以上的天数年均达到90%。持续抓好水污染防治，全面落实河湖长制，建立健全水源岸线管护长效机制，因地制宜实施河道治理、清淤疏浚、打通阻隔、生态修复，统筹推进河沟治理，着力改善河湖、沟渠等水系的生态景观。减少工业、农业、生活三大类污染源污染物排放，实施葫芦河沿岸重点乡镇污水处理站、镇区雨污分流改造和农户污水收集系统工程，葫芦河地表水出境断面综合评价达到国家规定的Ⅲ类功能水质标准，饮用水源水质达标率达到100％。持续抓好土壤污染防治，有效管控农用地和城镇建设用地土壤环境风险，着力解决生活垃圾、畜禽粪便、农药化肥、塑料污染等土壤污染问题。</w:t>
      </w:r>
      <w:r>
        <w:rPr>
          <w:rFonts w:ascii="Times New Roman" w:hAnsi="Times New Roman" w:eastAsia="楷体_GB2312" w:cs="Times New Roman"/>
          <w:b/>
          <w:bCs/>
          <w:sz w:val="32"/>
          <w:szCs w:val="32"/>
        </w:rPr>
        <w:t>（责任单位：</w:t>
      </w:r>
      <w:r>
        <w:rPr>
          <w:rFonts w:hint="eastAsia" w:ascii="Times New Roman" w:hAnsi="Times New Roman" w:eastAsia="楷体_GB2312" w:cs="Times New Roman"/>
          <w:b/>
          <w:bCs/>
          <w:sz w:val="32"/>
          <w:szCs w:val="32"/>
        </w:rPr>
        <w:t>县生态环境局</w:t>
      </w:r>
      <w:r>
        <w:rPr>
          <w:rFonts w:ascii="Times New Roman" w:hAnsi="Times New Roman" w:eastAsia="楷体_GB2312" w:cs="Times New Roman"/>
          <w:b/>
          <w:bCs/>
          <w:sz w:val="32"/>
          <w:szCs w:val="32"/>
        </w:rPr>
        <w:t>、县住建局、县发改局、县农业农村局、县水务局）</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八、促进城乡融合发展，提</w:t>
      </w:r>
      <w:r>
        <w:rPr>
          <w:rFonts w:hint="eastAsia" w:ascii="Times New Roman" w:hAnsi="Times New Roman" w:eastAsia="黑体" w:cs="Times New Roman"/>
          <w:sz w:val="32"/>
          <w:szCs w:val="32"/>
        </w:rPr>
        <w:t>升</w:t>
      </w:r>
      <w:r>
        <w:rPr>
          <w:rFonts w:ascii="Times New Roman" w:hAnsi="Times New Roman" w:eastAsia="黑体" w:cs="Times New Roman"/>
          <w:sz w:val="32"/>
          <w:szCs w:val="32"/>
        </w:rPr>
        <w:t>县城辐射带动能力</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（三十五）推进基础设施延伸乡村。</w:t>
      </w:r>
      <w:r>
        <w:rPr>
          <w:rFonts w:ascii="Times New Roman" w:hAnsi="Times New Roman" w:eastAsia="仿宋_GB2312" w:cs="Times New Roman"/>
          <w:sz w:val="32"/>
          <w:szCs w:val="32"/>
        </w:rPr>
        <w:t>发挥县城连接城市服务乡村的桥梁作用，以县城为中心统筹推动供水、供热、网络、天然气管道、生活垃圾处理等基础设施向城郊乡村及规模较大镇延伸。启动实施村庄基础设施建设工程，加大农业物联网、数字乡村试点和现代信息技术应用，全面改善农村水、电、路、气、通信、物流等基础条件，逐步缩小城乡差距。新建乡镇天然气门站，敷设管道200公里。实施农村电网巩固提升工程，加快建设现代化农村配电网，新建改造10千伏线路38公里、0.4千伏线路265公里，10千伏及以下线路1800公里。实施新一轮农村人居环境整治，因地制宜推进农村厕所、垃圾、污水“三大革命”，深入开展废旧农膜回收、尾菜处理、畜禽粪污资源化利用、秸秆综合利用、生活垃圾回收利用“六项行动”。梯次推动城镇污水管网向周边村组延伸覆盖，推广小型农村生活污水处理技术设备，整治农村黑臭水体。持续推进生活垃圾源头分类减量，合理规划建设一批农村有机废弃物综合处理设施，推进就地利用处理。扎实推进农村厕所革命，加强农村厕所粪污无害化处理与资源化利用。深入实施村庄清洁行动和绿化美化行动，全面推进“拆违治乱”专项整治，不断完善人居环境长效管控机制，努力打造美丽宜居新村庄。到2025年，农村卫生厕所普及率达到90%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畜禽粪污综合利用率达到80%以上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废旧农膜回收利用率力争达到90%。</w:t>
      </w:r>
      <w:r>
        <w:rPr>
          <w:rFonts w:ascii="Times New Roman" w:hAnsi="Times New Roman" w:eastAsia="楷体_GB2312" w:cs="Times New Roman"/>
          <w:b/>
          <w:bCs/>
          <w:sz w:val="32"/>
          <w:szCs w:val="32"/>
        </w:rPr>
        <w:t>（责任单位：县住建局、县交通运输局、县农业农村局、县乡村振兴局、县水务局、县发改局）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（三十六）推进公共服务覆盖乡村。</w:t>
      </w:r>
      <w:r>
        <w:rPr>
          <w:rFonts w:ascii="Times New Roman" w:hAnsi="Times New Roman" w:eastAsia="仿宋_GB2312" w:cs="Times New Roman"/>
          <w:sz w:val="32"/>
          <w:szCs w:val="32"/>
        </w:rPr>
        <w:t>聚焦群众关心关注的教育、医疗、养老、社保等民生领域，稳步提高城乡基本公共服务均等化水平。发展城乡教育联合体，深化义务教育教师“县管校聘”管理改革。巩固义务教育普及成果，大力推进</w:t>
      </w:r>
      <w:r>
        <w:rPr>
          <w:rFonts w:hint="eastAsia" w:ascii="Times New Roman" w:hAnsi="Times New Roman" w:eastAsia="仿宋_GB2312" w:cs="Times New Roman"/>
          <w:sz w:val="32"/>
          <w:szCs w:val="32"/>
        </w:rPr>
        <w:t>乡镇</w:t>
      </w:r>
      <w:r>
        <w:rPr>
          <w:rFonts w:ascii="Times New Roman" w:hAnsi="Times New Roman" w:eastAsia="仿宋_GB2312" w:cs="Times New Roman"/>
          <w:sz w:val="32"/>
          <w:szCs w:val="32"/>
        </w:rPr>
        <w:t>义务教育学校标准化建设。加强基层医疗卫生机构基础设施建设，推进基层医疗卫生信息化，加快推进县乡村三级卫生医疗机构和社区卫生服务中心建设。加大基层医疗卫生队伍建设力度，培养一批乡镇卫生院、社区卫生服务中心全科医生。加强乡镇综合文化站、村文化室建设，加快建设一批公共电子阅览室，实现文化资源共享。充分利用东西部协作机制，加强劳动力跨区域精准对接，提高劳务输出质量。推动农业转移人口与城镇户籍劳动者享有公平就业机会、职业发展机会和平等就业扶持政策，保障劳动者同工同酬。</w:t>
      </w:r>
      <w:r>
        <w:rPr>
          <w:rFonts w:ascii="Times New Roman" w:hAnsi="Times New Roman" w:eastAsia="楷体_GB2312" w:cs="Times New Roman"/>
          <w:b/>
          <w:bCs/>
          <w:sz w:val="32"/>
          <w:szCs w:val="32"/>
        </w:rPr>
        <w:t>（责任单位：县教育局、县卫健局、县人社局、县乡村振兴局、县文旅局）</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（三十七）推进巩固拓展脱贫攻坚成果同乡村振兴有效衔接。</w:t>
      </w:r>
      <w:r>
        <w:rPr>
          <w:rFonts w:ascii="Times New Roman" w:hAnsi="Times New Roman" w:eastAsia="仿宋_GB2312" w:cs="Times New Roman"/>
          <w:sz w:val="32"/>
          <w:szCs w:val="32"/>
        </w:rPr>
        <w:t>巩固提升脱贫攻坚成果，严格按照“四个不摘”和“四个不减”工作要求，保持现有帮扶政策、帮扶力量、资金支持总体稳定，创新接续发展支持政策，巩固拓展脱贫攻坚成果。做好易地扶贫搬迁后续帮扶，扩大以工代赈项目建设，增加劳务报酬比例。集中力量发展壮大特色产业，发展龙头企业、农民专业合作社，有效带动城乡居民就业和增收。深化东西部协作和定点帮扶机制，推动乡村就业工厂、就业车间可持续发展。拓宽农民致富增收渠道。加强技术合作，提高农产品品质和附加值，探索推进农产品优质优价正向激励。建立平等竞争、规范有序、城乡统一的劳动力市场，统筹推进农村劳动力转移就业和就地创业就业，加大“静宁果农”等劳务品牌推介力度，推动农村劳动力有序外出就业。完善就业公共服务体系，落实劳动关系协调机制、终身职业技能培训制度，依法保障劳动者待遇和权益。</w:t>
      </w:r>
      <w:r>
        <w:rPr>
          <w:rFonts w:ascii="Times New Roman" w:hAnsi="Times New Roman" w:eastAsia="楷体_GB2312" w:cs="Times New Roman"/>
          <w:b/>
          <w:bCs/>
          <w:sz w:val="32"/>
          <w:szCs w:val="32"/>
        </w:rPr>
        <w:t>（责任单位：县乡村振兴局、县农业农村局、县财政局、县发改局）</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九、深化体制机制创新，激发县城发展动力</w:t>
      </w:r>
      <w:r>
        <w:rPr>
          <w:rFonts w:hint="eastAsia" w:ascii="Times New Roman" w:hAnsi="Times New Roman" w:eastAsia="黑体" w:cs="Times New Roman"/>
          <w:sz w:val="32"/>
          <w:szCs w:val="32"/>
        </w:rPr>
        <w:t>活力</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（三十八）健全农业</w:t>
      </w:r>
      <w:r>
        <w:rPr>
          <w:rFonts w:hint="eastAsia" w:ascii="Times New Roman" w:hAnsi="Times New Roman" w:eastAsia="楷体_GB2312" w:cs="Times New Roman"/>
          <w:b/>
          <w:bCs/>
          <w:sz w:val="32"/>
          <w:szCs w:val="32"/>
        </w:rPr>
        <w:t>转移</w:t>
      </w:r>
      <w:r>
        <w:rPr>
          <w:rFonts w:ascii="Times New Roman" w:hAnsi="Times New Roman" w:eastAsia="楷体_GB2312" w:cs="Times New Roman"/>
          <w:b/>
          <w:bCs/>
          <w:sz w:val="32"/>
          <w:szCs w:val="32"/>
        </w:rPr>
        <w:t>人口</w:t>
      </w:r>
      <w:r>
        <w:rPr>
          <w:rFonts w:hint="eastAsia" w:ascii="Times New Roman" w:hAnsi="Times New Roman" w:eastAsia="楷体_GB2312" w:cs="Times New Roman"/>
          <w:b/>
          <w:bCs/>
          <w:sz w:val="32"/>
          <w:szCs w:val="32"/>
        </w:rPr>
        <w:t>市民化</w:t>
      </w:r>
      <w:r>
        <w:rPr>
          <w:rFonts w:ascii="Times New Roman" w:hAnsi="Times New Roman" w:eastAsia="楷体_GB2312" w:cs="Times New Roman"/>
          <w:b/>
          <w:bCs/>
          <w:sz w:val="32"/>
          <w:szCs w:val="32"/>
        </w:rPr>
        <w:t>机制。</w:t>
      </w:r>
      <w:r>
        <w:rPr>
          <w:rFonts w:hint="eastAsia" w:ascii="Times New Roman" w:hAnsi="Times New Roman" w:eastAsia="仿宋_GB2312" w:cs="Times New Roman"/>
          <w:sz w:val="32"/>
          <w:szCs w:val="32"/>
        </w:rPr>
        <w:t>深化户籍制度改革，</w:t>
      </w:r>
      <w:r>
        <w:rPr>
          <w:rFonts w:ascii="Times New Roman" w:hAnsi="Times New Roman" w:eastAsia="仿宋_GB2312" w:cs="Times New Roman"/>
          <w:sz w:val="32"/>
          <w:szCs w:val="32"/>
        </w:rPr>
        <w:t>全面</w:t>
      </w:r>
      <w:r>
        <w:rPr>
          <w:rFonts w:hint="eastAsia" w:ascii="Times New Roman" w:hAnsi="Times New Roman" w:eastAsia="仿宋_GB2312" w:cs="Times New Roman"/>
          <w:sz w:val="32"/>
          <w:szCs w:val="32"/>
        </w:rPr>
        <w:t>落实</w:t>
      </w:r>
      <w:r>
        <w:rPr>
          <w:rFonts w:ascii="Times New Roman" w:hAnsi="Times New Roman" w:eastAsia="仿宋_GB2312" w:cs="Times New Roman"/>
          <w:sz w:val="32"/>
          <w:szCs w:val="32"/>
        </w:rPr>
        <w:t>城镇</w:t>
      </w:r>
      <w:r>
        <w:rPr>
          <w:rFonts w:hint="eastAsia" w:ascii="Times New Roman" w:hAnsi="Times New Roman" w:eastAsia="仿宋_GB2312" w:cs="Times New Roman"/>
          <w:sz w:val="32"/>
          <w:szCs w:val="32"/>
        </w:rPr>
        <w:t>零门槛</w:t>
      </w:r>
      <w:r>
        <w:rPr>
          <w:rFonts w:ascii="Times New Roman" w:hAnsi="Times New Roman" w:eastAsia="仿宋_GB2312" w:cs="Times New Roman"/>
          <w:sz w:val="32"/>
          <w:szCs w:val="32"/>
        </w:rPr>
        <w:t>落户</w:t>
      </w:r>
      <w:r>
        <w:rPr>
          <w:rFonts w:hint="eastAsia" w:ascii="Times New Roman" w:hAnsi="Times New Roman" w:eastAsia="仿宋_GB2312" w:cs="Times New Roman"/>
          <w:sz w:val="32"/>
          <w:szCs w:val="32"/>
        </w:rPr>
        <w:t>政策</w:t>
      </w:r>
      <w:r>
        <w:rPr>
          <w:rFonts w:ascii="Times New Roman" w:hAnsi="Times New Roman" w:eastAsia="仿宋_GB2312" w:cs="Times New Roman"/>
          <w:sz w:val="32"/>
          <w:szCs w:val="32"/>
        </w:rPr>
        <w:t>，简化户籍迁移手续，</w:t>
      </w:r>
      <w:r>
        <w:rPr>
          <w:rFonts w:hint="eastAsia" w:ascii="Times New Roman" w:hAnsi="Times New Roman" w:eastAsia="仿宋_GB2312" w:cs="Times New Roman"/>
          <w:sz w:val="32"/>
          <w:szCs w:val="32"/>
        </w:rPr>
        <w:t>积极鼓励农民工、大中专毕业生、退役军人等各类人员在县城落户，</w:t>
      </w:r>
      <w:r>
        <w:rPr>
          <w:rFonts w:ascii="Times New Roman" w:hAnsi="Times New Roman" w:eastAsia="仿宋_GB2312" w:cs="Times New Roman"/>
          <w:sz w:val="32"/>
          <w:szCs w:val="32"/>
        </w:rPr>
        <w:t>实现城镇人口</w:t>
      </w:r>
      <w:r>
        <w:rPr>
          <w:rFonts w:hint="eastAsia" w:ascii="Times New Roman" w:hAnsi="Times New Roman" w:eastAsia="仿宋_GB2312" w:cs="Times New Roman"/>
          <w:sz w:val="32"/>
          <w:szCs w:val="32"/>
        </w:rPr>
        <w:t>服务</w:t>
      </w:r>
      <w:r>
        <w:rPr>
          <w:rFonts w:ascii="Times New Roman" w:hAnsi="Times New Roman" w:eastAsia="仿宋_GB2312" w:cs="Times New Roman"/>
          <w:sz w:val="32"/>
          <w:szCs w:val="32"/>
        </w:rPr>
        <w:t>管理由户籍人口</w:t>
      </w:r>
      <w:r>
        <w:rPr>
          <w:rFonts w:hint="eastAsia" w:ascii="Times New Roman" w:hAnsi="Times New Roman" w:eastAsia="仿宋_GB2312" w:cs="Times New Roman"/>
          <w:sz w:val="32"/>
          <w:szCs w:val="32"/>
        </w:rPr>
        <w:t>为主</w:t>
      </w:r>
      <w:r>
        <w:rPr>
          <w:rFonts w:ascii="Times New Roman" w:hAnsi="Times New Roman" w:eastAsia="仿宋_GB2312" w:cs="Times New Roman"/>
          <w:sz w:val="32"/>
          <w:szCs w:val="32"/>
        </w:rPr>
        <w:t>向常住人口转变</w:t>
      </w:r>
      <w:r>
        <w:rPr>
          <w:rFonts w:hint="eastAsia" w:ascii="Times New Roman" w:hAnsi="Times New Roman" w:eastAsia="仿宋_GB2312" w:cs="Times New Roman"/>
          <w:sz w:val="32"/>
          <w:szCs w:val="32"/>
        </w:rPr>
        <w:t>，确保新落户人口与城市居民享有同等公共服务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障农民工等非户籍常住人口均等享有教育、医疗、住房保障等基本公共服务，以新生代农民工为重点推动社会保险参保扩面，全面落实企业为农民工缴纳职工养老、医疗、工伤、失业、生育等社会保险费的责任，合理引导就业农民工按规定参加职工基本医疗保险和城镇职工基本养老保险。依法保障进城落户农民的农村土地承包权、宅基地使用权、集体收益分配权，引导进城落户农民依法自愿有偿转让“三权”。</w:t>
      </w:r>
      <w:r>
        <w:rPr>
          <w:rFonts w:ascii="Times New Roman" w:hAnsi="Times New Roman" w:eastAsia="楷体_GB2312" w:cs="Times New Roman"/>
          <w:b/>
          <w:bCs/>
          <w:sz w:val="32"/>
          <w:szCs w:val="32"/>
        </w:rPr>
        <w:t>（责任单位：县公安局、县人社局、</w:t>
      </w:r>
      <w:r>
        <w:rPr>
          <w:rFonts w:hint="eastAsia" w:ascii="Times New Roman" w:hAnsi="Times New Roman" w:eastAsia="楷体_GB2312" w:cs="Times New Roman"/>
          <w:b/>
          <w:bCs/>
          <w:sz w:val="32"/>
          <w:szCs w:val="32"/>
        </w:rPr>
        <w:t>县农业农村局、</w:t>
      </w:r>
      <w:r>
        <w:rPr>
          <w:rFonts w:ascii="Times New Roman" w:hAnsi="Times New Roman" w:eastAsia="楷体_GB2312" w:cs="Times New Roman"/>
          <w:b/>
          <w:bCs/>
          <w:sz w:val="32"/>
          <w:szCs w:val="32"/>
        </w:rPr>
        <w:t>县卫健局、县教育局、县住建局、县医保局、县退役军人事务局）</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bCs/>
          <w:sz w:val="32"/>
          <w:szCs w:val="32"/>
        </w:rPr>
        <w:t>（三十九）提升农业</w:t>
      </w:r>
      <w:r>
        <w:rPr>
          <w:rFonts w:hint="eastAsia" w:ascii="Times New Roman" w:hAnsi="Times New Roman" w:eastAsia="楷体_GB2312" w:cs="Times New Roman"/>
          <w:b/>
          <w:bCs/>
          <w:sz w:val="32"/>
          <w:szCs w:val="32"/>
        </w:rPr>
        <w:t>转移</w:t>
      </w:r>
      <w:r>
        <w:rPr>
          <w:rFonts w:ascii="Times New Roman" w:hAnsi="Times New Roman" w:eastAsia="楷体_GB2312" w:cs="Times New Roman"/>
          <w:b/>
          <w:bCs/>
          <w:sz w:val="32"/>
          <w:szCs w:val="32"/>
        </w:rPr>
        <w:t>人口融入城市能力。</w:t>
      </w:r>
      <w:r>
        <w:rPr>
          <w:rFonts w:hint="eastAsia" w:ascii="Times New Roman" w:hAnsi="Times New Roman" w:eastAsia="仿宋_GB2312" w:cs="Times New Roman"/>
          <w:sz w:val="32"/>
          <w:szCs w:val="32"/>
        </w:rPr>
        <w:t>深入实施新生代农民工职业技能提升计划，依托各类培训机构，加强对新生代农民工等农业转移人口的职业技能培训，结合促进农民工返乡就业创业和承接产业转移，开展针对性创业技能培训。加强社区服务体系建设，优化农业转移人口公共服务，吸引和鼓励农业转移人口参与社区治理，引导农业转移人口与城市居民融合。加强对农业转移人口科普宣传和继续教育，不断提高农业转移人口科学文化和文明素质。</w:t>
      </w:r>
      <w:r>
        <w:rPr>
          <w:rFonts w:ascii="Times New Roman" w:hAnsi="Times New Roman" w:eastAsia="楷体_GB2312" w:cs="Times New Roman"/>
          <w:b/>
          <w:bCs/>
          <w:sz w:val="32"/>
          <w:szCs w:val="32"/>
        </w:rPr>
        <w:t>（责任单位：县人社局、县农业农村局、县教育局、县财政局、县公安局、县发改局、县乡村振兴局）</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（四十）</w:t>
      </w:r>
      <w:r>
        <w:rPr>
          <w:rFonts w:hint="eastAsia" w:ascii="Times New Roman" w:hAnsi="Times New Roman" w:eastAsia="楷体_GB2312" w:cs="Times New Roman"/>
          <w:b/>
          <w:bCs/>
          <w:sz w:val="32"/>
          <w:szCs w:val="32"/>
        </w:rPr>
        <w:t>用足用好县城建设</w:t>
      </w:r>
      <w:r>
        <w:rPr>
          <w:rFonts w:ascii="Times New Roman" w:hAnsi="Times New Roman" w:eastAsia="楷体_GB2312" w:cs="Times New Roman"/>
          <w:b/>
          <w:bCs/>
          <w:sz w:val="32"/>
          <w:szCs w:val="32"/>
        </w:rPr>
        <w:t>投融资</w:t>
      </w:r>
      <w:r>
        <w:rPr>
          <w:rFonts w:hint="eastAsia" w:ascii="Times New Roman" w:hAnsi="Times New Roman" w:eastAsia="楷体_GB2312" w:cs="Times New Roman"/>
          <w:b/>
          <w:bCs/>
          <w:sz w:val="32"/>
          <w:szCs w:val="32"/>
        </w:rPr>
        <w:t>政策</w:t>
      </w:r>
      <w:r>
        <w:rPr>
          <w:rFonts w:ascii="Times New Roman" w:hAnsi="Times New Roman" w:eastAsia="楷体_GB2312" w:cs="Times New Roman"/>
          <w:b/>
          <w:bCs/>
          <w:sz w:val="32"/>
          <w:szCs w:val="32"/>
        </w:rPr>
        <w:t>。</w:t>
      </w:r>
      <w:r>
        <w:rPr>
          <w:rFonts w:hint="eastAsia" w:ascii="Times New Roman" w:hAnsi="Times New Roman" w:eastAsia="仿宋_GB2312" w:cs="Times New Roman"/>
          <w:sz w:val="32"/>
          <w:szCs w:val="32"/>
        </w:rPr>
        <w:t>大力争取中央预算内资金、中省专项资金、地方政府专项债券资金支持县城基础设施补短板，充分运用“信贷结合”等方式，做好项目后续配套融资。支持成纪兴业投资集团公司、阿阳产业投资集团公司和政策性开发性金融机构开展合作，增加对符合条件的重大项目的中长期贷款投放力度，解决项目投融资难题。积极引入中省企业等参与县城建设，通过多种方式有效盘活存量资产，利用好基础设施不动产信托基金（REITs）等金融工具，将盘活存量资产回收资金投入新项目建设形成良性循环。</w:t>
      </w:r>
      <w:r>
        <w:rPr>
          <w:rFonts w:ascii="Times New Roman" w:hAnsi="Times New Roman" w:eastAsia="楷体_GB2312" w:cs="Times New Roman"/>
          <w:b/>
          <w:bCs/>
          <w:sz w:val="32"/>
          <w:szCs w:val="32"/>
        </w:rPr>
        <w:t>（责任单位：县财政局、县自然资源局、县发改局、县政府金融办、人行静宁支行）</w:t>
      </w:r>
    </w:p>
    <w:p>
      <w:pPr>
        <w:spacing w:line="600" w:lineRule="exact"/>
        <w:ind w:firstLine="643" w:firstLineChars="200"/>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（四十一）</w:t>
      </w:r>
      <w:r>
        <w:rPr>
          <w:rFonts w:hint="eastAsia" w:ascii="Times New Roman" w:hAnsi="Times New Roman" w:eastAsia="楷体_GB2312" w:cs="Times New Roman"/>
          <w:b/>
          <w:bCs/>
          <w:sz w:val="32"/>
          <w:szCs w:val="32"/>
        </w:rPr>
        <w:t>强化县城建设用地保障</w:t>
      </w:r>
      <w:r>
        <w:rPr>
          <w:rFonts w:ascii="Times New Roman" w:hAnsi="Times New Roman" w:eastAsia="楷体_GB2312" w:cs="Times New Roman"/>
          <w:b/>
          <w:bCs/>
          <w:sz w:val="32"/>
          <w:szCs w:val="32"/>
        </w:rPr>
        <w:t>。</w:t>
      </w:r>
      <w:r>
        <w:rPr>
          <w:rFonts w:hint="eastAsia" w:ascii="Times New Roman" w:hAnsi="Times New Roman" w:eastAsia="仿宋_GB2312" w:cs="Times New Roman"/>
          <w:sz w:val="32"/>
          <w:szCs w:val="32"/>
        </w:rPr>
        <w:t>实施严格的标准规范控制，积极盘活低效存量土地，发挥全县国土空间总体规划引领作用，加快完成县、乡两级国土空间规划编制报批工作。</w:t>
      </w:r>
      <w:r>
        <w:rPr>
          <w:rFonts w:ascii="Times New Roman" w:hAnsi="Times New Roman" w:eastAsia="仿宋_GB2312" w:cs="Times New Roman"/>
          <w:sz w:val="32"/>
          <w:szCs w:val="32"/>
        </w:rPr>
        <w:t>合理安排新增建设用地计划指标，保障县城建设正常用地需求。按照“要素跟着项目走”原则，紧盯全县乡村振兴、重大项目、城乡发展等项目建设，谋划制定年用地供应计划，建立用地需求台账，合理安排用地指标和报批时序。采用长期租赁、先租后让、弹性年期供应等方式供应工业用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提升现有工业用地容积率和单位用地面积产出率。</w:t>
      </w:r>
      <w:r>
        <w:rPr>
          <w:rFonts w:ascii="Times New Roman" w:hAnsi="Times New Roman" w:eastAsia="楷体_GB2312" w:cs="Times New Roman"/>
          <w:b/>
          <w:bCs/>
          <w:sz w:val="32"/>
          <w:szCs w:val="32"/>
        </w:rPr>
        <w:t>（责任单位：县自然资源局、工业园区、县工信局、县农业农村局）</w:t>
      </w:r>
    </w:p>
    <w:p>
      <w:pPr>
        <w:spacing w:line="600" w:lineRule="exact"/>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（四十二）协同推进城镇化和强县域行动。</w:t>
      </w:r>
      <w:r>
        <w:rPr>
          <w:rFonts w:hint="eastAsia" w:ascii="Times New Roman" w:hAnsi="Times New Roman" w:eastAsia="仿宋_GB2312" w:cs="Times New Roman"/>
          <w:sz w:val="32"/>
          <w:szCs w:val="32"/>
        </w:rPr>
        <w:t>按照省负总责、市州协调、县区抓落实工作机制，将以县城为重要载体的城镇化建设作为强县域工作重要抓手，紧密衔接、同步安排、同步落实。为进一步加强组织领导，我县成立的加快县域经济高质量发展领导小组在推进强县域工作基础上，统筹推进以县城为重要载体的城镇化建设。同时，全县各级各部门要</w:t>
      </w:r>
      <w:r>
        <w:rPr>
          <w:rFonts w:ascii="Times New Roman" w:hAnsi="Times New Roman" w:eastAsia="仿宋_GB2312" w:cs="Times New Roman"/>
          <w:sz w:val="32"/>
          <w:szCs w:val="32"/>
        </w:rPr>
        <w:t>认真总结提炼宣传报道以县城为重要载体的城镇化建设大力实施强县域行动典型经验和做法，强化示范效应，凝聚社会共识，营造良好社会环境和舆论氛围。</w:t>
      </w:r>
    </w:p>
    <w:p>
      <w:pPr>
        <w:spacing w:line="600" w:lineRule="exact"/>
        <w:ind w:firstLine="640" w:firstLineChars="200"/>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附件：重点举措一览表</w:t>
      </w:r>
    </w:p>
    <w:p>
      <w:pPr>
        <w:spacing w:line="600" w:lineRule="exact"/>
        <w:ind w:firstLine="640" w:firstLineChars="200"/>
        <w:rPr>
          <w:rFonts w:ascii="Times New Roman" w:hAnsi="Times New Roman" w:eastAsia="仿宋_GB2312" w:cs="Times New Roman"/>
          <w:sz w:val="32"/>
          <w:szCs w:val="32"/>
        </w:rPr>
        <w:sectPr>
          <w:footerReference r:id="rId3"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start="2"/>
          <w:cols w:space="425" w:num="1"/>
          <w:docGrid w:type="lines" w:linePitch="312" w:charSpace="0"/>
        </w:sectPr>
      </w:pPr>
    </w:p>
    <w:p>
      <w:p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附  件</w:t>
      </w:r>
    </w:p>
    <w:p>
      <w:pPr>
        <w:spacing w:line="600"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重 点 举 措 一 览 表</w:t>
      </w:r>
    </w:p>
    <w:p>
      <w:pPr>
        <w:spacing w:line="600" w:lineRule="exact"/>
        <w:ind w:firstLine="880" w:firstLineChars="200"/>
        <w:jc w:val="center"/>
        <w:rPr>
          <w:rFonts w:ascii="Times New Roman" w:hAnsi="Times New Roman" w:eastAsia="方正小标宋简体" w:cs="Times New Roman"/>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383"/>
        <w:gridCol w:w="2955"/>
        <w:gridCol w:w="634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trPr>
        <w:tc>
          <w:tcPr>
            <w:tcW w:w="855" w:type="dxa"/>
          </w:tcPr>
          <w:p>
            <w:pPr>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序号</w:t>
            </w:r>
          </w:p>
        </w:tc>
        <w:tc>
          <w:tcPr>
            <w:tcW w:w="2383" w:type="dxa"/>
          </w:tcPr>
          <w:p>
            <w:pPr>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名  称</w:t>
            </w:r>
          </w:p>
        </w:tc>
        <w:tc>
          <w:tcPr>
            <w:tcW w:w="9300" w:type="dxa"/>
            <w:gridSpan w:val="2"/>
          </w:tcPr>
          <w:p>
            <w:pPr>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具  体  内  容</w:t>
            </w:r>
          </w:p>
        </w:tc>
        <w:tc>
          <w:tcPr>
            <w:tcW w:w="780" w:type="dxa"/>
          </w:tcPr>
          <w:p>
            <w:pPr>
              <w:spacing w:line="60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55" w:type="dxa"/>
            <w:vMerge w:val="restart"/>
            <w:vAlign w:val="center"/>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2383"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“十四五”交通设施</w:t>
            </w:r>
          </w:p>
          <w:p>
            <w:pPr>
              <w:jc w:val="center"/>
              <w:rPr>
                <w:rFonts w:asciiTheme="minorEastAsia" w:hAnsiTheme="minorEastAsia" w:cstheme="minorEastAsia"/>
                <w:szCs w:val="21"/>
              </w:rPr>
            </w:pPr>
            <w:r>
              <w:rPr>
                <w:rFonts w:hint="eastAsia" w:asciiTheme="minorEastAsia" w:hAnsiTheme="minorEastAsia" w:cstheme="minorEastAsia"/>
                <w:szCs w:val="21"/>
              </w:rPr>
              <w:t>重点建设项目</w:t>
            </w: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定平铁路静宁段</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争取开工建设定平铁路静宁段。</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平凉至天水高速公路静宁段</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新建高速公路9.8公里。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G566线西吉至天水公路（闫庙-静宁段）项目</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改建二级公路9.62公里。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自然村组道路硬化工程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新建四级公路360公里。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S221泾源-石槽沟（古城至威戎至仁大段）公路改建工程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改建三级公路60公里，其中古城至威戎段18公里、威戎至仁大段42公里。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X096线甘沟至四河公路改建工程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改建三级公路21.4公里。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农村公路提质改造</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维修农村公路144公里。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资源路旅游路产业路改建工程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改建公路139公里。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村道安防工程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实施安全防护工程384公里。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农村公路联网路改建工程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改建三级公路58公里。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heme="minorEastAsia" w:hAnsiTheme="minorEastAsia" w:cstheme="minorEastAsia"/>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桥梁改建工程</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改造危桥9座。</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855" w:type="dxa"/>
            <w:vMerge w:val="restart"/>
            <w:vAlign w:val="center"/>
          </w:tcPr>
          <w:p>
            <w:pPr>
              <w:jc w:val="center"/>
              <w:rPr>
                <w:rFonts w:ascii="Times New Roman" w:hAnsi="Times New Roman" w:eastAsia="方正小标宋简体" w:cs="Times New Roman"/>
                <w:sz w:val="44"/>
                <w:szCs w:val="44"/>
              </w:rPr>
            </w:pPr>
            <w:r>
              <w:rPr>
                <w:rFonts w:ascii="Times New Roman" w:hAnsi="Times New Roman" w:eastAsia="宋体" w:cs="Times New Roman"/>
                <w:sz w:val="24"/>
                <w:szCs w:val="24"/>
              </w:rPr>
              <w:t>2</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“十四五”水利设施</w:t>
            </w:r>
          </w:p>
          <w:p>
            <w:pPr>
              <w:jc w:val="center"/>
              <w:rPr>
                <w:rFonts w:ascii="Times New Roman" w:hAnsi="Times New Roman" w:eastAsia="宋体" w:cs="Times New Roman"/>
                <w:szCs w:val="21"/>
              </w:rPr>
            </w:pPr>
            <w:r>
              <w:rPr>
                <w:rFonts w:ascii="宋体" w:hAnsi="宋体" w:eastAsia="宋体" w:cs="宋体"/>
                <w:szCs w:val="21"/>
              </w:rPr>
              <w:t>重点建设项目</w:t>
            </w:r>
          </w:p>
        </w:tc>
        <w:tc>
          <w:tcPr>
            <w:tcW w:w="2955" w:type="dxa"/>
            <w:vAlign w:val="center"/>
          </w:tcPr>
          <w:p>
            <w:pPr>
              <w:jc w:val="left"/>
              <w:rPr>
                <w:rFonts w:ascii="宋体" w:hAnsi="宋体" w:eastAsia="宋体" w:cs="宋体"/>
                <w:szCs w:val="21"/>
              </w:rPr>
            </w:pPr>
            <w:r>
              <w:rPr>
                <w:rFonts w:hint="eastAsia" w:ascii="宋体" w:hAnsi="宋体" w:eastAsia="宋体" w:cs="宋体"/>
                <w:szCs w:val="21"/>
              </w:rPr>
              <w:t>引洮供水二期配套城乡供水工程</w:t>
            </w:r>
          </w:p>
        </w:tc>
        <w:tc>
          <w:tcPr>
            <w:tcW w:w="6345" w:type="dxa"/>
            <w:vAlign w:val="center"/>
          </w:tcPr>
          <w:p>
            <w:pPr>
              <w:jc w:val="left"/>
              <w:rPr>
                <w:rFonts w:ascii="宋体" w:hAnsi="宋体" w:eastAsia="宋体" w:cs="宋体"/>
                <w:szCs w:val="21"/>
              </w:rPr>
            </w:pPr>
            <w:r>
              <w:rPr>
                <w:rFonts w:hint="eastAsia" w:ascii="宋体" w:hAnsi="宋体" w:eastAsia="宋体" w:cs="宋体"/>
              </w:rPr>
              <w:t>建设调蓄水池7座292万方、高位水池16座1.05万方、泵站14座、农村人饮水厂4座，日处理规模3.9万方，对接干支管29条259.27公里。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55" w:type="dxa"/>
            <w:vMerge w:val="continue"/>
            <w:vAlign w:val="center"/>
          </w:tcPr>
          <w:p>
            <w:pPr>
              <w:jc w:val="center"/>
              <w:rPr>
                <w:rFonts w:ascii="Times New Roman" w:hAnsi="Times New Roman" w:eastAsia="方正小标宋简体" w:cs="Times New Roman"/>
                <w:sz w:val="44"/>
                <w:szCs w:val="4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白龙江调水工程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在仁大、贾河预留给水口2个，新建调蓄水池2座，埋设连接管12公里。</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55" w:type="dxa"/>
            <w:vMerge w:val="continue"/>
            <w:vAlign w:val="center"/>
          </w:tcPr>
          <w:p>
            <w:pPr>
              <w:jc w:val="center"/>
              <w:rPr>
                <w:rFonts w:ascii="Times New Roman" w:hAnsi="Times New Roman" w:eastAsia="方正小标宋简体" w:cs="Times New Roman"/>
                <w:sz w:val="44"/>
                <w:szCs w:val="4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农村供水保障工程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改造老旧管网，对接原有饮水安全工程管网与引洮二期配套工程管网，新建减压调蓄水池、检查井，埋设各类输配水管道等。</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55" w:type="dxa"/>
            <w:vMerge w:val="continue"/>
            <w:vAlign w:val="center"/>
          </w:tcPr>
          <w:p>
            <w:pPr>
              <w:jc w:val="center"/>
              <w:rPr>
                <w:rFonts w:ascii="Times New Roman" w:hAnsi="Times New Roman" w:eastAsia="方正小标宋简体" w:cs="Times New Roman"/>
                <w:sz w:val="44"/>
                <w:szCs w:val="4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城区智能水表更换工程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更换智能卡表、劳拉水表。</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55" w:type="dxa"/>
            <w:vMerge w:val="continue"/>
            <w:vAlign w:val="center"/>
          </w:tcPr>
          <w:p>
            <w:pPr>
              <w:jc w:val="center"/>
              <w:rPr>
                <w:rFonts w:ascii="Times New Roman" w:hAnsi="Times New Roman" w:eastAsia="方正小标宋简体" w:cs="Times New Roman"/>
                <w:sz w:val="44"/>
                <w:szCs w:val="4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乡（镇）水管站</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更新基层水管单位办公设备，维修加固房屋等。</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55" w:type="dxa"/>
            <w:vMerge w:val="continue"/>
            <w:vAlign w:val="center"/>
          </w:tcPr>
          <w:p>
            <w:pPr>
              <w:jc w:val="center"/>
              <w:rPr>
                <w:rFonts w:ascii="Times New Roman" w:hAnsi="Times New Roman" w:eastAsia="方正小标宋简体" w:cs="Times New Roman"/>
                <w:sz w:val="44"/>
                <w:szCs w:val="4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智慧水务建设</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配置水库、水管站所等信息化设施设备。</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855" w:type="dxa"/>
            <w:vMerge w:val="continue"/>
            <w:vAlign w:val="center"/>
          </w:tcPr>
          <w:p>
            <w:pPr>
              <w:jc w:val="center"/>
              <w:rPr>
                <w:rFonts w:ascii="Times New Roman" w:hAnsi="Times New Roman" w:eastAsia="方正小标宋简体" w:cs="Times New Roman"/>
                <w:sz w:val="44"/>
                <w:szCs w:val="4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农村饮水安全信息化建设</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建设水质监测、视频控制、给水管网监控、网络收费系统等信息化管理平台。</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净水厂工程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建设净水厂1座。</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水厂提升改造工程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改造五台山、党塬、南门水厂，敷设输配水管道。</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城区供水水源配套工程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新建大口井，更换水源井至旧泵站输水管道。</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供水管网更新改造工程</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更换城区供水管道。</w:t>
            </w:r>
          </w:p>
        </w:tc>
        <w:tc>
          <w:tcPr>
            <w:tcW w:w="780" w:type="dxa"/>
            <w:vAlign w:val="center"/>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5" w:type="dxa"/>
            <w:vMerge w:val="restart"/>
            <w:vAlign w:val="center"/>
          </w:tcPr>
          <w:p>
            <w:pPr>
              <w:jc w:val="center"/>
              <w:rPr>
                <w:rFonts w:ascii="Times New Roman" w:hAnsi="Times New Roman" w:eastAsia="宋体" w:cs="Times New Roman"/>
                <w:sz w:val="28"/>
                <w:szCs w:val="28"/>
              </w:rPr>
            </w:pPr>
            <w:r>
              <w:rPr>
                <w:rFonts w:ascii="Times New Roman" w:hAnsi="Times New Roman" w:eastAsia="宋体" w:cs="Times New Roman"/>
                <w:sz w:val="24"/>
                <w:szCs w:val="24"/>
              </w:rPr>
              <w:t>3</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“十四五”市政基础</w:t>
            </w:r>
          </w:p>
          <w:p>
            <w:pPr>
              <w:jc w:val="center"/>
              <w:rPr>
                <w:rFonts w:ascii="Times New Roman" w:hAnsi="Times New Roman" w:eastAsia="宋体" w:cs="Times New Roman"/>
                <w:szCs w:val="21"/>
              </w:rPr>
            </w:pPr>
            <w:r>
              <w:rPr>
                <w:rFonts w:ascii="宋体" w:hAnsi="宋体" w:eastAsia="宋体" w:cs="宋体"/>
                <w:szCs w:val="21"/>
              </w:rPr>
              <w:t>设施重点建设项目</w:t>
            </w: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城区道路建设</w:t>
            </w:r>
          </w:p>
        </w:tc>
        <w:tc>
          <w:tcPr>
            <w:tcW w:w="6345" w:type="dxa"/>
            <w:vAlign w:val="center"/>
          </w:tcPr>
          <w:p>
            <w:pPr>
              <w:rPr>
                <w:rFonts w:ascii="宋体" w:hAnsi="宋体" w:eastAsia="宋体" w:cs="宋体"/>
                <w:szCs w:val="21"/>
              </w:rPr>
            </w:pPr>
            <w:r>
              <w:rPr>
                <w:rFonts w:hint="eastAsia" w:ascii="宋体" w:hAnsi="宋体" w:eastAsia="宋体" w:cs="宋体"/>
                <w:szCs w:val="21"/>
              </w:rPr>
              <w:t>新建西滨河路及明德路西段道路、滨河支路、明德路、文屏教育园区东环路及文屏山路（文德路-东环路）东关路、南环东路、东环路等道路，配套供排水管网、绿化、亮化等。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城区道路改造</w:t>
            </w:r>
          </w:p>
        </w:tc>
        <w:tc>
          <w:tcPr>
            <w:tcW w:w="6345" w:type="dxa"/>
            <w:vAlign w:val="center"/>
          </w:tcPr>
          <w:p>
            <w:pPr>
              <w:rPr>
                <w:rFonts w:ascii="宋体" w:hAnsi="宋体" w:eastAsia="宋体" w:cs="宋体"/>
                <w:szCs w:val="21"/>
              </w:rPr>
            </w:pPr>
            <w:r>
              <w:rPr>
                <w:rFonts w:hint="eastAsia" w:ascii="宋体" w:hAnsi="宋体" w:eastAsia="宋体" w:cs="宋体"/>
                <w:szCs w:val="21"/>
              </w:rPr>
              <w:t>改造南环中路（西环路-红学巷）、静西支路、东街道路、东二环路南段、北环中路（成纪路—西环路）、西街（西环路-滨河路）、成纪文化街、南站院巷、五金巷等道路，配套供排水管网、绿化、照明等。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855" w:type="dxa"/>
            <w:vMerge w:val="continue"/>
            <w:vAlign w:val="center"/>
          </w:tcPr>
          <w:p>
            <w:pPr>
              <w:jc w:val="center"/>
              <w:rPr>
                <w:rFonts w:ascii="Times New Roman" w:hAnsi="Times New Roman" w:eastAsia="宋体"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城区桥梁建设</w:t>
            </w:r>
          </w:p>
        </w:tc>
        <w:tc>
          <w:tcPr>
            <w:tcW w:w="6345" w:type="dxa"/>
            <w:vAlign w:val="center"/>
          </w:tcPr>
          <w:p>
            <w:pPr>
              <w:rPr>
                <w:rFonts w:ascii="宋体" w:hAnsi="宋体" w:eastAsia="宋体" w:cs="宋体"/>
                <w:szCs w:val="21"/>
              </w:rPr>
            </w:pPr>
            <w:r>
              <w:rPr>
                <w:rFonts w:hint="eastAsia" w:ascii="宋体" w:hAnsi="宋体" w:eastAsia="宋体" w:cs="宋体"/>
                <w:szCs w:val="21"/>
              </w:rPr>
              <w:t>新建跨南河桥1座。</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城区老旧小区改造</w:t>
            </w:r>
          </w:p>
        </w:tc>
        <w:tc>
          <w:tcPr>
            <w:tcW w:w="6345" w:type="dxa"/>
            <w:vAlign w:val="center"/>
          </w:tcPr>
          <w:p>
            <w:pPr>
              <w:rPr>
                <w:rFonts w:ascii="宋体" w:hAnsi="宋体" w:eastAsia="宋体" w:cs="宋体"/>
                <w:szCs w:val="21"/>
              </w:rPr>
            </w:pPr>
            <w:r>
              <w:rPr>
                <w:rFonts w:hint="eastAsia" w:ascii="宋体" w:hAnsi="宋体" w:eastAsia="宋体" w:cs="宋体"/>
                <w:szCs w:val="21"/>
              </w:rPr>
              <w:t>改造老旧小区住宅楼53幢，改造各类破损地沟、检查井、雨水井、化粪池，增设消火井，硬化院坪等。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房地产开发</w:t>
            </w:r>
          </w:p>
        </w:tc>
        <w:tc>
          <w:tcPr>
            <w:tcW w:w="6345" w:type="dxa"/>
            <w:vAlign w:val="center"/>
          </w:tcPr>
          <w:p>
            <w:pPr>
              <w:rPr>
                <w:rFonts w:ascii="宋体" w:hAnsi="宋体" w:eastAsia="宋体" w:cs="宋体"/>
                <w:szCs w:val="21"/>
              </w:rPr>
            </w:pPr>
            <w:r>
              <w:rPr>
                <w:rFonts w:hint="eastAsia" w:ascii="宋体" w:hAnsi="宋体" w:eastAsia="宋体" w:cs="宋体"/>
                <w:szCs w:val="21"/>
              </w:rPr>
              <w:t>新建续建商品房200万平方米。</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八里高速路口停车场</w:t>
            </w:r>
          </w:p>
        </w:tc>
        <w:tc>
          <w:tcPr>
            <w:tcW w:w="6345" w:type="dxa"/>
            <w:vAlign w:val="center"/>
          </w:tcPr>
          <w:p>
            <w:pPr>
              <w:rPr>
                <w:rFonts w:ascii="宋体" w:hAnsi="宋体" w:eastAsia="宋体" w:cs="宋体"/>
                <w:szCs w:val="21"/>
              </w:rPr>
            </w:pPr>
            <w:r>
              <w:rPr>
                <w:rFonts w:hint="eastAsia" w:ascii="宋体" w:hAnsi="宋体" w:eastAsia="宋体" w:cs="宋体"/>
                <w:szCs w:val="21"/>
              </w:rPr>
              <w:t>设置大型停车位44个、小型停车位97个、房车停车位21个、房车水电一体补充桩10台，建设其他用房280平方米，配套安防设备及道闸。</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智慧停车</w:t>
            </w:r>
          </w:p>
        </w:tc>
        <w:tc>
          <w:tcPr>
            <w:tcW w:w="6345" w:type="dxa"/>
            <w:vAlign w:val="center"/>
          </w:tcPr>
          <w:p>
            <w:pPr>
              <w:rPr>
                <w:rFonts w:ascii="宋体" w:hAnsi="宋体" w:eastAsia="宋体" w:cs="宋体"/>
                <w:szCs w:val="21"/>
              </w:rPr>
            </w:pPr>
            <w:r>
              <w:rPr>
                <w:rFonts w:hint="eastAsia" w:ascii="宋体" w:hAnsi="宋体" w:eastAsia="宋体" w:cs="宋体"/>
                <w:szCs w:val="21"/>
              </w:rPr>
              <w:t>在城区34处规划停车泊位3876个，配套安防、智能终端等停车管理收费系统。</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城区公厕</w:t>
            </w:r>
          </w:p>
        </w:tc>
        <w:tc>
          <w:tcPr>
            <w:tcW w:w="6345" w:type="dxa"/>
            <w:vAlign w:val="center"/>
          </w:tcPr>
          <w:p>
            <w:pPr>
              <w:rPr>
                <w:rFonts w:ascii="宋体" w:hAnsi="宋体" w:eastAsia="宋体" w:cs="宋体"/>
                <w:szCs w:val="21"/>
              </w:rPr>
            </w:pPr>
            <w:r>
              <w:rPr>
                <w:rFonts w:hint="eastAsia" w:ascii="宋体" w:hAnsi="宋体" w:eastAsia="宋体" w:cs="宋体"/>
                <w:szCs w:val="21"/>
              </w:rPr>
              <w:t>改造、新建公厕15座。</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滨河路景观带改造提升工程</w:t>
            </w:r>
          </w:p>
        </w:tc>
        <w:tc>
          <w:tcPr>
            <w:tcW w:w="6345" w:type="dxa"/>
            <w:vAlign w:val="center"/>
          </w:tcPr>
          <w:p>
            <w:pPr>
              <w:rPr>
                <w:rFonts w:ascii="宋体" w:hAnsi="宋体" w:eastAsia="宋体" w:cs="宋体"/>
                <w:szCs w:val="21"/>
              </w:rPr>
            </w:pPr>
            <w:r>
              <w:rPr>
                <w:rFonts w:hint="eastAsia" w:ascii="宋体" w:hAnsi="宋体" w:eastAsia="宋体" w:cs="宋体"/>
                <w:szCs w:val="21"/>
              </w:rPr>
              <w:t>改造滨河路景观带，设计停车位，丰富植物层次，恢复破损树池，铺装道路等。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城市公园建设</w:t>
            </w:r>
          </w:p>
        </w:tc>
        <w:tc>
          <w:tcPr>
            <w:tcW w:w="6345" w:type="dxa"/>
            <w:vAlign w:val="center"/>
          </w:tcPr>
          <w:p>
            <w:pPr>
              <w:rPr>
                <w:rFonts w:ascii="宋体" w:hAnsi="宋体" w:eastAsia="宋体" w:cs="宋体"/>
                <w:szCs w:val="21"/>
              </w:rPr>
            </w:pPr>
            <w:r>
              <w:rPr>
                <w:rFonts w:hint="eastAsia" w:ascii="宋体" w:hAnsi="宋体" w:eastAsia="宋体" w:cs="宋体"/>
                <w:szCs w:val="21"/>
              </w:rPr>
              <w:t>新建南河公园、武穆路“口袋公园”、悬镜湖湿地公园。</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城区公园改造提升</w:t>
            </w:r>
          </w:p>
        </w:tc>
        <w:tc>
          <w:tcPr>
            <w:tcW w:w="6345" w:type="dxa"/>
            <w:vAlign w:val="center"/>
          </w:tcPr>
          <w:p>
            <w:pPr>
              <w:rPr>
                <w:rFonts w:ascii="宋体" w:hAnsi="宋体" w:eastAsia="宋体" w:cs="宋体"/>
                <w:szCs w:val="21"/>
              </w:rPr>
            </w:pPr>
            <w:r>
              <w:rPr>
                <w:rFonts w:hint="eastAsia" w:ascii="宋体" w:hAnsi="宋体" w:eastAsia="宋体" w:cs="宋体"/>
                <w:szCs w:val="21"/>
              </w:rPr>
              <w:t>改造提升烽台山公园、文屏山公园、西岭公园等。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855" w:type="dxa"/>
            <w:vMerge w:val="continue"/>
          </w:tcPr>
          <w:p>
            <w:pPr>
              <w:jc w:val="center"/>
              <w:rPr>
                <w:rFonts w:ascii="Times New Roman" w:hAnsi="Times New Roman" w:eastAsia="方正小标宋简体" w:cs="Times New Roman"/>
                <w:sz w:val="44"/>
                <w:szCs w:val="4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城区集中供热工程</w:t>
            </w:r>
          </w:p>
        </w:tc>
        <w:tc>
          <w:tcPr>
            <w:tcW w:w="6345" w:type="dxa"/>
            <w:vAlign w:val="center"/>
          </w:tcPr>
          <w:p>
            <w:pPr>
              <w:rPr>
                <w:rFonts w:ascii="宋体" w:hAnsi="宋体" w:eastAsia="宋体" w:cs="宋体"/>
                <w:szCs w:val="21"/>
              </w:rPr>
            </w:pPr>
            <w:r>
              <w:rPr>
                <w:rFonts w:hint="eastAsia" w:ascii="宋体" w:hAnsi="宋体" w:eastAsia="宋体" w:cs="宋体"/>
                <w:szCs w:val="21"/>
              </w:rPr>
              <w:t>新建高城寨供热站1座，配套城区供热管网，对东城区锅炉房进行提质改造作为高城寨供热站的应急调峰热源，回购静宁兴远能源公司及静宁县热力有限责任公司供热站及供热管网等供热资产。</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“十四五”防洪排涝</w:t>
            </w:r>
          </w:p>
          <w:p>
            <w:pPr>
              <w:jc w:val="center"/>
              <w:rPr>
                <w:rFonts w:ascii="Times New Roman" w:hAnsi="Times New Roman" w:eastAsia="宋体" w:cs="Times New Roman"/>
                <w:szCs w:val="21"/>
              </w:rPr>
            </w:pPr>
            <w:r>
              <w:rPr>
                <w:rFonts w:ascii="宋体" w:hAnsi="宋体" w:eastAsia="宋体" w:cs="宋体"/>
                <w:szCs w:val="21"/>
              </w:rPr>
              <w:t>设施重点建设项目</w:t>
            </w: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河湖生态（沟道）治理工程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治理城川镇王家沟、高湾沟沟道</w:t>
            </w:r>
            <w:r>
              <w:rPr>
                <w:rFonts w:hint="eastAsia" w:ascii="Times New Roman" w:hAnsi="Times New Roman" w:eastAsia="宋体" w:cs="Times New Roman"/>
                <w:szCs w:val="21"/>
              </w:rPr>
              <w:t>，葫芦河四河段河道，高界河（高峰渠首至下坝村段）、甘沟河（四河至雷黄段）、狗娃河(八里镇段)、甘渭河曹务段河堤</w:t>
            </w:r>
            <w:r>
              <w:rPr>
                <w:rFonts w:ascii="Times New Roman" w:hAnsi="Times New Roman" w:eastAsia="宋体" w:cs="Times New Roman"/>
                <w:szCs w:val="21"/>
              </w:rPr>
              <w:t>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水库库区和移民安置区基础设施</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硬化坝面、村组道路，安装护栏、路灯，修建排水渠、小花园，维修农户屋顶，新建提灌，管护提升生态林。</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河道管护信息化工程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在重点河道建设监控指挥中心、监控站、视频监控、数据传输中继站等。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县级水利自动监测预警站改造升级</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新建改造广播、监测站、水位站、雨量站等。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w:t>
            </w:r>
            <w:r>
              <w:rPr>
                <w:rFonts w:ascii="Times New Roman" w:hAnsi="Times New Roman" w:eastAsia="宋体" w:cs="Times New Roman"/>
                <w:szCs w:val="21"/>
              </w:rPr>
              <w:t>智慧水保</w:t>
            </w:r>
            <w:r>
              <w:rPr>
                <w:rFonts w:hint="eastAsia" w:ascii="Times New Roman" w:hAnsi="Times New Roman" w:eastAsia="宋体" w:cs="Times New Roman"/>
                <w:szCs w:val="21"/>
              </w:rPr>
              <w:t>”</w:t>
            </w:r>
            <w:r>
              <w:rPr>
                <w:rFonts w:ascii="Times New Roman" w:hAnsi="Times New Roman" w:eastAsia="宋体" w:cs="Times New Roman"/>
                <w:szCs w:val="21"/>
              </w:rPr>
              <w:t>信息化监管平台</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w:t>
            </w:r>
            <w:r>
              <w:rPr>
                <w:rFonts w:hint="eastAsia" w:ascii="Times New Roman" w:hAnsi="Times New Roman" w:eastAsia="宋体" w:cs="Times New Roman"/>
                <w:szCs w:val="21"/>
              </w:rPr>
              <w:t>“</w:t>
            </w:r>
            <w:r>
              <w:rPr>
                <w:rFonts w:ascii="Times New Roman" w:hAnsi="Times New Roman" w:eastAsia="宋体" w:cs="Times New Roman"/>
                <w:szCs w:val="21"/>
              </w:rPr>
              <w:t>智慧水保</w:t>
            </w:r>
            <w:r>
              <w:rPr>
                <w:rFonts w:hint="eastAsia" w:ascii="Times New Roman" w:hAnsi="Times New Roman" w:eastAsia="宋体" w:cs="Times New Roman"/>
                <w:szCs w:val="21"/>
              </w:rPr>
              <w:t>”</w:t>
            </w:r>
            <w:r>
              <w:rPr>
                <w:rFonts w:ascii="Times New Roman" w:hAnsi="Times New Roman" w:eastAsia="宋体" w:cs="Times New Roman"/>
                <w:szCs w:val="21"/>
              </w:rPr>
              <w:t>信息化平台。</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水库除险工程</w:t>
            </w:r>
          </w:p>
        </w:tc>
        <w:tc>
          <w:tcPr>
            <w:tcW w:w="6345" w:type="dxa"/>
            <w:vAlign w:val="center"/>
          </w:tcPr>
          <w:p>
            <w:pPr>
              <w:rPr>
                <w:rFonts w:ascii="Times New Roman" w:hAnsi="Times New Roman" w:eastAsia="宋体" w:cs="Times New Roman"/>
                <w:szCs w:val="21"/>
              </w:rPr>
            </w:pPr>
            <w:r>
              <w:rPr>
                <w:rFonts w:hint="eastAsia" w:ascii="Times New Roman" w:hAnsi="Times New Roman" w:eastAsia="宋体" w:cs="Times New Roman"/>
                <w:szCs w:val="21"/>
              </w:rPr>
              <w:t>除险加固</w:t>
            </w:r>
            <w:r>
              <w:rPr>
                <w:rFonts w:ascii="Times New Roman" w:hAnsi="Times New Roman" w:eastAsia="宋体" w:cs="Times New Roman"/>
                <w:szCs w:val="21"/>
              </w:rPr>
              <w:t>东峡等水库，维修改造输水泄洪洞，疏浚大坝下游河道等。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2383" w:type="dxa"/>
            <w:vMerge w:val="restart"/>
            <w:vAlign w:val="center"/>
          </w:tcPr>
          <w:p>
            <w:pPr>
              <w:jc w:val="center"/>
              <w:rPr>
                <w:rFonts w:ascii="Times New Roman" w:hAnsi="Times New Roman" w:eastAsia="宋体" w:cs="Times New Roman"/>
                <w:szCs w:val="21"/>
              </w:rPr>
            </w:pPr>
            <w:r>
              <w:rPr>
                <w:rFonts w:ascii="宋体" w:hAnsi="宋体" w:eastAsia="宋体" w:cs="宋体"/>
                <w:szCs w:val="21"/>
              </w:rPr>
              <w:t>“十四五”现代农业产业发展重点建设项目</w:t>
            </w:r>
          </w:p>
        </w:tc>
        <w:tc>
          <w:tcPr>
            <w:tcW w:w="2955" w:type="dxa"/>
            <w:vAlign w:val="center"/>
          </w:tcPr>
          <w:p>
            <w:pPr>
              <w:jc w:val="left"/>
              <w:rPr>
                <w:rFonts w:ascii="Times New Roman" w:hAnsi="Times New Roman" w:eastAsia="宋体" w:cs="Times New Roman"/>
                <w:szCs w:val="21"/>
              </w:rPr>
            </w:pPr>
            <w:r>
              <w:rPr>
                <w:rFonts w:hint="eastAsia" w:ascii="Times New Roman" w:hAnsi="Times New Roman" w:eastAsia="宋体" w:cs="Times New Roman"/>
                <w:szCs w:val="21"/>
              </w:rPr>
              <w:t>国家农村产业融合发展示范园</w:t>
            </w:r>
          </w:p>
        </w:tc>
        <w:tc>
          <w:tcPr>
            <w:tcW w:w="634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新建仓储保鲜库3座5122.</w:t>
            </w:r>
            <w:r>
              <w:rPr>
                <w:rFonts w:hint="eastAsia" w:ascii="Times New Roman" w:hAnsi="Times New Roman" w:eastAsia="宋体" w:cs="Times New Roman"/>
                <w:szCs w:val="21"/>
              </w:rPr>
              <w:t>3</w:t>
            </w:r>
            <w:r>
              <w:rPr>
                <w:rFonts w:ascii="Times New Roman" w:hAnsi="Times New Roman" w:eastAsia="宋体" w:cs="Times New Roman"/>
                <w:szCs w:val="21"/>
              </w:rPr>
              <w:t>平方米、苹果深加工标准化车间3座11835平方米、原料车间1210.2平方米、农产品检验检测中心2694.2平方米，</w:t>
            </w:r>
            <w:r>
              <w:rPr>
                <w:rFonts w:hint="eastAsia" w:ascii="Times New Roman" w:hAnsi="Times New Roman" w:eastAsia="宋体" w:cs="Times New Roman"/>
                <w:szCs w:val="21"/>
              </w:rPr>
              <w:t>敷设给排水</w:t>
            </w:r>
            <w:r>
              <w:rPr>
                <w:rFonts w:ascii="Times New Roman" w:hAnsi="Times New Roman" w:eastAsia="宋体" w:cs="Times New Roman"/>
                <w:szCs w:val="21"/>
              </w:rPr>
              <w:t>、雨污管网3000米、供热管网1000米、电力管网2000米等。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绿色有机苹果标准化建设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改造乔化果园20万亩，建设新型矮化密植果园5万亩、有机苹果示范园30万亩，实施有机肥代替化学肥料50万亩。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苹果出口创汇基地</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在仁大、李店、治平、深沟、贾河、余湾、雷大、双岘、新店、甘沟、威戎、城川等乡镇新建苹果出口创汇基地10万亩。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种质资源创新利用及良种苗木繁育工程</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在城川、威戎建设脱毒种苗扩繁基地2000亩，在城川红旗建设国家级苹果选种场500亩、苹果种质资源圃500亩。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国家数字种植业创新应用基地项目</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建设天空地一体化监测平台、智慧农机装备平台、苹果产业大数据中心、田间配套工程等。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苹果种苗研发中心</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依托现有苹果脱毒种苗繁育基地、品种展示和观赏圃、日光温室等，建设苹果脱毒组织培养、品种研发实验中心。</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幼园标准化管理</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在城川、威戎、甘沟等乡（镇）幼园开展拉枝、增施有机肥、病虫害防控等标准化管理1.5万亩。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老果园改造</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在葫芦河流域、李店河流域苹果重点乡（镇）改造老果园2万亩。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挂果园提质增效</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在葫芦河流域、李店河流域苹果重点乡（镇）采取土壤养分测定，实施“化肥、农药减施增效”及树体优化修剪等技术1万亩。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苹果保险+期货项目</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在全县24乡镇实施苹果保险+期货项目，有效对冲市场风险。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农产品质量安全追溯体系建设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建立农产品质量安全追溯体系，鼓励涉农企业利用静宁县智慧果业平台开展生产、管理、经营。</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旱作农业</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每年推广旱作农业85万亩。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马铃薯产业综合开发</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每年在西北部乡镇建设马铃薯良种示范基地、原种示范基地。</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特色优势产业小杂粮推广</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在西北部10乡镇推广糜子、荞麦、谷子、胡麻等小杂粮5万亩，在原安、三合、界石铺、红寺等乡镇建立小杂粮回收加工体系和市场营销网络。</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设施蔬菜基地及示范园建设</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依托界石铺高堡、城川靳寺，威戎梁马、新华，甘沟小河、司桥司桥、细巷谭店等建设蔬菜基地及示范园。</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界石铺镇智慧特色蔬菜产业基地建设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在界石铺镇新建育苗大棚4000平方米、连栋温室3000平方米、光伏发电工程1处3000平方米（自发自用）、蓄水池1座150立方米、管理用房245平方米；安装智慧物联控制系统等。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标准化养殖基地改造提升</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在三合新堡、界石铺李堡、灵芝前湾新建肉牛养殖小区3个，扩建界石铺二夫村供港基地1处；改造提升肉牛养殖小区7个，扩建肉牛养殖场1个。</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界石铺镇北斗农业生态牧场建设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新建占地100亩的生态牧场1处。</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静原鸡种质资源保护利用能力提升</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组建1万羽静原鸡保种群，建设静原鸡生态园基地1处。</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粮改饲项目</w:t>
            </w:r>
          </w:p>
        </w:tc>
        <w:tc>
          <w:tcPr>
            <w:tcW w:w="6345" w:type="dxa"/>
            <w:vAlign w:val="center"/>
          </w:tcPr>
          <w:p>
            <w:pPr>
              <w:rPr>
                <w:rFonts w:ascii="宋体" w:hAnsi="宋体" w:eastAsia="宋体" w:cs="宋体"/>
                <w:szCs w:val="21"/>
              </w:rPr>
            </w:pPr>
            <w:r>
              <w:rPr>
                <w:rFonts w:hint="eastAsia" w:ascii="宋体" w:hAnsi="宋体" w:eastAsia="宋体" w:cs="宋体"/>
                <w:szCs w:val="21"/>
              </w:rPr>
              <w:t>在西北部养牛重点乡镇推广订单式全株青贮加工饲料。</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平凉红牛产业“万千百十”养殖基地建设</w:t>
            </w:r>
          </w:p>
        </w:tc>
        <w:tc>
          <w:tcPr>
            <w:tcW w:w="6345" w:type="dxa"/>
            <w:vAlign w:val="center"/>
          </w:tcPr>
          <w:p>
            <w:pPr>
              <w:rPr>
                <w:rFonts w:ascii="宋体" w:hAnsi="宋体" w:eastAsia="宋体" w:cs="宋体"/>
                <w:szCs w:val="21"/>
              </w:rPr>
            </w:pPr>
            <w:r>
              <w:rPr>
                <w:rFonts w:hint="eastAsia" w:ascii="宋体" w:hAnsi="宋体" w:eastAsia="宋体" w:cs="宋体"/>
                <w:szCs w:val="21"/>
              </w:rPr>
              <w:t>对通过验收认定的千头肉牛养殖示范村、百头规范化养牛场（合作社）、十头以上养殖大户及万头肉牛养殖乡镇按照规定予以奖励补助。</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“十四五”工业重点</w:t>
            </w:r>
          </w:p>
          <w:p>
            <w:pPr>
              <w:jc w:val="center"/>
              <w:rPr>
                <w:rFonts w:ascii="Times New Roman" w:hAnsi="Times New Roman" w:eastAsia="宋体" w:cs="Times New Roman"/>
                <w:szCs w:val="21"/>
              </w:rPr>
            </w:pPr>
            <w:r>
              <w:rPr>
                <w:rFonts w:ascii="宋体" w:hAnsi="宋体" w:eastAsia="宋体" w:cs="宋体"/>
                <w:szCs w:val="21"/>
              </w:rPr>
              <w:t>建设项目</w:t>
            </w:r>
          </w:p>
        </w:tc>
        <w:tc>
          <w:tcPr>
            <w:tcW w:w="2955" w:type="dxa"/>
            <w:vAlign w:val="center"/>
          </w:tcPr>
          <w:p>
            <w:pPr>
              <w:jc w:val="left"/>
              <w:rPr>
                <w:rFonts w:ascii="宋体" w:hAnsi="宋体" w:eastAsia="宋体" w:cs="宋体"/>
                <w:szCs w:val="21"/>
              </w:rPr>
            </w:pPr>
            <w:r>
              <w:rPr>
                <w:rFonts w:hint="eastAsia" w:ascii="宋体" w:hAnsi="宋体" w:eastAsia="宋体" w:cs="宋体"/>
                <w:szCs w:val="21"/>
              </w:rPr>
              <w:t>纸箱包装产业园可循环利用新型包装</w:t>
            </w:r>
          </w:p>
        </w:tc>
        <w:tc>
          <w:tcPr>
            <w:tcW w:w="6345" w:type="dxa"/>
            <w:vAlign w:val="center"/>
          </w:tcPr>
          <w:p>
            <w:pPr>
              <w:rPr>
                <w:rFonts w:ascii="宋体" w:hAnsi="宋体" w:eastAsia="宋体" w:cs="宋体"/>
                <w:szCs w:val="21"/>
              </w:rPr>
            </w:pPr>
            <w:r>
              <w:rPr>
                <w:rFonts w:hint="eastAsia" w:ascii="宋体" w:hAnsi="宋体" w:eastAsia="宋体" w:cs="宋体"/>
                <w:szCs w:val="21"/>
              </w:rPr>
              <w:t>引进德国海德堡胶印设备，新上精包装生产线1条，改造原有纸箱生产线和塑料制品生产线。</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京首福种子研发加工基地</w:t>
            </w:r>
          </w:p>
        </w:tc>
        <w:tc>
          <w:tcPr>
            <w:tcW w:w="6345" w:type="dxa"/>
            <w:vAlign w:val="center"/>
          </w:tcPr>
          <w:p>
            <w:pPr>
              <w:rPr>
                <w:rFonts w:ascii="宋体" w:hAnsi="宋体" w:eastAsia="宋体" w:cs="宋体"/>
                <w:szCs w:val="21"/>
              </w:rPr>
            </w:pPr>
            <w:r>
              <w:rPr>
                <w:rFonts w:hint="eastAsia" w:ascii="宋体" w:hAnsi="宋体" w:eastAsia="宋体" w:cs="宋体"/>
                <w:szCs w:val="21"/>
              </w:rPr>
              <w:t>建设占地28亩的种子研发、生产厂房、办公楼等1.9万平方米，规划停车位69个。</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农副产品加工产业园烧鸡大饼出城入园</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建成占地29.6亩的烧鸡大饼标准化加工厂房4幢1万平方米。</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兴安民爆公司智能化改造</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改造粉状乳化炸药生产线、DDNP起爆药制造工房、数码电子雷管等生产线。</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农副产品加工产业园</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建设烧鸡加工区、亚麻油、杂粮、食醋加工区，打造静宁农副产品集中加工、销售中心。</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废旧机动车拆解回收利用及再生资源综合分拣中心建设</w:t>
            </w:r>
          </w:p>
        </w:tc>
        <w:tc>
          <w:tcPr>
            <w:tcW w:w="6345" w:type="dxa"/>
            <w:vAlign w:val="center"/>
          </w:tcPr>
          <w:p>
            <w:pPr>
              <w:rPr>
                <w:rFonts w:ascii="宋体" w:hAnsi="宋体" w:eastAsia="宋体" w:cs="宋体"/>
                <w:szCs w:val="21"/>
              </w:rPr>
            </w:pPr>
            <w:r>
              <w:rPr>
                <w:rFonts w:hint="eastAsia" w:ascii="宋体" w:hAnsi="宋体" w:eastAsia="宋体" w:cs="宋体"/>
                <w:szCs w:val="21"/>
              </w:rPr>
              <w:t>占地面积50.7亩，新建拆解车间2198平方米、回用件贮存间2052平方米、分拣车间1998平方米、业务楼264平方米等，购置拆解、切割等设备。</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农副产品加工产业园-乡村振兴牛肉冷链物流基础设施建设</w:t>
            </w:r>
          </w:p>
        </w:tc>
        <w:tc>
          <w:tcPr>
            <w:tcW w:w="6345" w:type="dxa"/>
            <w:vAlign w:val="center"/>
          </w:tcPr>
          <w:p>
            <w:pPr>
              <w:jc w:val="left"/>
              <w:rPr>
                <w:rFonts w:ascii="宋体" w:hAnsi="宋体" w:eastAsia="宋体" w:cs="宋体"/>
                <w:szCs w:val="21"/>
              </w:rPr>
            </w:pPr>
            <w:r>
              <w:rPr>
                <w:rFonts w:hint="eastAsia" w:ascii="宋体" w:hAnsi="宋体" w:eastAsia="宋体" w:cs="宋体"/>
                <w:szCs w:val="21"/>
              </w:rPr>
              <w:t>建设屠宰及冷链车间、制冷工艺车间、急宰间及无害化处理间、污水预处理设施、值班室，总建筑面积2.8万平方米，配建地下设备用房及室外工程。</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甘肃保口福食品有限公司熟肉制品项目</w:t>
            </w:r>
          </w:p>
        </w:tc>
        <w:tc>
          <w:tcPr>
            <w:tcW w:w="6345" w:type="dxa"/>
            <w:vAlign w:val="center"/>
          </w:tcPr>
          <w:p>
            <w:pPr>
              <w:rPr>
                <w:rFonts w:ascii="宋体" w:hAnsi="宋体" w:eastAsia="宋体" w:cs="宋体"/>
                <w:szCs w:val="21"/>
              </w:rPr>
            </w:pPr>
            <w:r>
              <w:rPr>
                <w:rFonts w:hint="eastAsia" w:ascii="宋体" w:hAnsi="宋体" w:eastAsia="宋体" w:cs="宋体"/>
                <w:szCs w:val="21"/>
              </w:rPr>
              <w:t>建成占地38.8亩的生产车间、成品库、冷库、办公楼等1.4万平方米。</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苹果保鲜加工产业园建设</w:t>
            </w:r>
          </w:p>
        </w:tc>
        <w:tc>
          <w:tcPr>
            <w:tcW w:w="6345" w:type="dxa"/>
            <w:vAlign w:val="center"/>
          </w:tcPr>
          <w:p>
            <w:pPr>
              <w:rPr>
                <w:rFonts w:ascii="宋体" w:hAnsi="宋体" w:eastAsia="宋体" w:cs="宋体"/>
                <w:szCs w:val="21"/>
              </w:rPr>
            </w:pPr>
            <w:r>
              <w:rPr>
                <w:rFonts w:hint="eastAsia" w:ascii="宋体" w:hAnsi="宋体" w:eastAsia="宋体" w:cs="宋体"/>
                <w:szCs w:val="21"/>
              </w:rPr>
              <w:t>在城川镇建设静宁苹果文化数字多功能展示厅440平方米、苹果实验室1000平方米、综合库房900平方米、加工车间3200平方米等。改造提升原有贮藏恒温库2座，建成现代气调保鲜库3000吨，引进生产线等。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绿色制造提质增效技术改造项目</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rPr>
              <w:t>升级改造热力中心系统，购置年产10万吨的牛皮挂面箱纸板生产线、5万吨农林废弃物果树枝桠材原料化再利用生产线、5万吨纱管原纸生产线等。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佰汇环保能源科技有限责任公司甲醇加注站建设项目</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新建站房、罩棚，实埋甲醇燃料储存罐，安装三品甲醇燃料加注机，配套附属办公设施等。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虹桥混凝土有限公司搬迁建设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规划用地面积23亩，拆除原混凝土生产线，新建年产120万立方米商品混凝土生产线，配建附属设施。</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工业园区集中供热站</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建设集中供热站1处，配套换热站，敷设管网。</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工业园区雨污分流改造</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改造工业园区合流制排水系统。</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工业园区商务驿站建设</w:t>
            </w:r>
          </w:p>
        </w:tc>
        <w:tc>
          <w:tcPr>
            <w:tcW w:w="6345" w:type="dxa"/>
            <w:vAlign w:val="center"/>
          </w:tcPr>
          <w:p>
            <w:pPr>
              <w:rPr>
                <w:rFonts w:ascii="宋体" w:hAnsi="宋体" w:eastAsia="宋体" w:cs="宋体"/>
                <w:szCs w:val="21"/>
              </w:rPr>
            </w:pPr>
            <w:r>
              <w:rPr>
                <w:rFonts w:hint="eastAsia" w:ascii="宋体" w:hAnsi="宋体" w:eastAsia="宋体" w:cs="宋体"/>
                <w:szCs w:val="21"/>
              </w:rPr>
              <w:t>建设商务驿站1处，建筑面积1.44万平方米。</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农副产品加工产业园街心公园建设</w:t>
            </w:r>
          </w:p>
        </w:tc>
        <w:tc>
          <w:tcPr>
            <w:tcW w:w="634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在农副产品加工产业园北侧建设街心公园1处。</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农副产品加工产业园污水处理站建设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占地4.35亩，建设650m³/d污水处理站1座2923.4平方米，建设格栅池、隔油沉淀池、污泥浓缩池、操作室等。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工业园区南片区路网框架及基础设施配套工程</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新建来凤一路、来凤二路、梧桐东路、一支路、二支路等道路6条，配套给排水、绿化等。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东西部扶贫协作示范园</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抓好与天津武清区及京津冀地区联系协作，构建区域性产业链，共建东西部扶贫协作示范园。</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tabs>
                <w:tab w:val="left" w:pos="799"/>
              </w:tabs>
              <w:jc w:val="left"/>
              <w:rPr>
                <w:rFonts w:asciiTheme="minorEastAsia" w:hAnsiTheme="minorEastAsia" w:cstheme="minorEastAsia"/>
                <w:szCs w:val="21"/>
              </w:rPr>
            </w:pPr>
            <w:r>
              <w:rPr>
                <w:rFonts w:hint="eastAsia" w:asciiTheme="minorEastAsia" w:hAnsiTheme="minorEastAsia" w:cstheme="minorEastAsia"/>
                <w:szCs w:val="21"/>
              </w:rPr>
              <w:t>甘肃德美地缘冷链物流产业园建设项目</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占地面积500亩，总建筑面积8.6万平方米，扩建冷库库容1.6万吨，配套相关设施设备。</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农村电商扶贫及现代物流配送体系建设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建成京东静宁数字化物流园1处，升级改造鼎元物流园现有仓储2.5万平方米；新建快销品配送中心、小商品集发中心、商业综合体等4万平方米，在威戎、仁大、界石铺建成专业物流园区及农贸市场3处等。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ascii="Times New Roman" w:hAnsi="Times New Roman" w:eastAsia="宋体" w:cs="Times New Roman"/>
                <w:szCs w:val="21"/>
              </w:rPr>
              <w:t>果邦生活服务中心体系建设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建设果邦生活服务中心23处，购置硬件设施及配送车辆、快递电瓶车等。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tabs>
                <w:tab w:val="left" w:pos="739"/>
              </w:tabs>
              <w:jc w:val="left"/>
              <w:rPr>
                <w:rFonts w:asciiTheme="minorEastAsia" w:hAnsiTheme="minorEastAsia" w:cstheme="minorEastAsia"/>
                <w:szCs w:val="21"/>
              </w:rPr>
            </w:pPr>
            <w:r>
              <w:rPr>
                <w:rFonts w:hint="eastAsia" w:asciiTheme="minorEastAsia" w:hAnsiTheme="minorEastAsia" w:cstheme="minorEastAsia"/>
                <w:szCs w:val="21"/>
              </w:rPr>
              <w:t>苹果产地冷链物流园</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在仁大镇建设年交易量15万吨的区域性综合苹果交易市场1处6.92万平方米。</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市场体系建设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在细巷、仁大、界石铺3乡镇新建农贸市场，改造提升乡镇农贸市场1处。</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2383" w:type="dxa"/>
            <w:vMerge w:val="restart"/>
            <w:vAlign w:val="center"/>
          </w:tcPr>
          <w:p>
            <w:pPr>
              <w:jc w:val="center"/>
              <w:rPr>
                <w:rFonts w:ascii="Times New Roman" w:hAnsi="Times New Roman" w:eastAsia="宋体" w:cs="Times New Roman"/>
                <w:szCs w:val="21"/>
              </w:rPr>
            </w:pPr>
            <w:r>
              <w:rPr>
                <w:rFonts w:hint="eastAsia" w:ascii="宋体" w:hAnsi="宋体" w:eastAsia="宋体" w:cs="宋体"/>
                <w:szCs w:val="21"/>
              </w:rPr>
              <w:t>“十四五”</w:t>
            </w:r>
            <w:r>
              <w:rPr>
                <w:rFonts w:ascii="Times New Roman" w:hAnsi="Times New Roman" w:eastAsia="宋体" w:cs="Times New Roman"/>
                <w:szCs w:val="21"/>
              </w:rPr>
              <w:t>能源保障</w:t>
            </w:r>
          </w:p>
          <w:p>
            <w:pPr>
              <w:jc w:val="center"/>
              <w:rPr>
                <w:rFonts w:ascii="Times New Roman" w:hAnsi="Times New Roman" w:eastAsia="宋体" w:cs="Times New Roman"/>
                <w:szCs w:val="21"/>
              </w:rPr>
            </w:pPr>
            <w:r>
              <w:rPr>
                <w:rFonts w:ascii="Times New Roman" w:hAnsi="Times New Roman" w:eastAsia="宋体" w:cs="Times New Roman"/>
                <w:szCs w:val="21"/>
              </w:rPr>
              <w:t>重点建设项目</w:t>
            </w: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光伏发电</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安装集中式100MW和分布式15MW光伏发电组件。</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重点乡镇天然气输送工程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新建乡镇天然气门站，敷设管道200公里。</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加油站</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在乡镇新建加油站6座。</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加气站</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在乡镇新建加气站4座。</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110千伏输变电工程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新建110千伏双回线路124公里。</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35千伏线路新建工程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新建35千伏线路300公里。</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配电网10千伏及以下工程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新建改造10千伏线路40公里、10千伏及以下电缆25公里、0.4千伏线路25公里，新建改造配变2万千伏安。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农网改造升级工程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新建改造10千伏线路38公里、0.4千伏线路265公里，10千伏及以下线路1800公里。</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855" w:type="dxa"/>
            <w:vMerge w:val="continue"/>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hint="eastAsia"/>
              </w:rPr>
              <w:t>电动汽车智慧充电桩</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新建60KW直流充电桩140台、7KW交流充电桩56台；购置车辆管控部分设备1003台（套）、箱变变压器18套、系统附属设备及辅材1批。</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2383" w:type="dxa"/>
            <w:vMerge w:val="restart"/>
            <w:vAlign w:val="center"/>
          </w:tcPr>
          <w:p>
            <w:pPr>
              <w:jc w:val="center"/>
              <w:rPr>
                <w:rFonts w:ascii="宋体" w:hAnsi="宋体" w:eastAsia="宋体" w:cs="宋体"/>
                <w:szCs w:val="21"/>
              </w:rPr>
            </w:pPr>
            <w:r>
              <w:rPr>
                <w:rFonts w:hint="eastAsia" w:ascii="宋体" w:hAnsi="宋体" w:eastAsia="宋体" w:cs="宋体"/>
                <w:szCs w:val="21"/>
              </w:rPr>
              <w:t>“十四五”信息化</w:t>
            </w:r>
          </w:p>
          <w:p>
            <w:pPr>
              <w:jc w:val="center"/>
              <w:rPr>
                <w:rFonts w:ascii="Times New Roman" w:hAnsi="Times New Roman" w:eastAsia="宋体" w:cs="Times New Roman"/>
                <w:szCs w:val="21"/>
              </w:rPr>
            </w:pPr>
            <w:r>
              <w:rPr>
                <w:rFonts w:hint="eastAsia" w:ascii="宋体" w:hAnsi="宋体" w:eastAsia="宋体" w:cs="宋体"/>
                <w:szCs w:val="21"/>
              </w:rPr>
              <w:t>重点建设项目</w:t>
            </w: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5G移动通信网络</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新建5G基站5000个，城区及重点区域5G网络全覆盖。</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通信管道建设</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新建通信管道50公里。</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数字化城市管理平台二期建设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开发数字城管应用系统软件、车辆泊车综合治理系统软件，建设基础数据，运行环境配套设备。</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智慧城市建设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建设人口、法人、空间地理信息等基础信息库，综合推进智慧医疗、交通、小区、校园等应用平台。</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气象灾害监测预警及信息发布系统工程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建设气象综合监测网、气象灾害监测预警系统等。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“十四五”文化旅游</w:t>
            </w:r>
          </w:p>
          <w:p>
            <w:pPr>
              <w:jc w:val="center"/>
              <w:rPr>
                <w:rFonts w:ascii="Times New Roman" w:hAnsi="Times New Roman" w:eastAsia="宋体" w:cs="Times New Roman"/>
                <w:szCs w:val="21"/>
              </w:rPr>
            </w:pPr>
            <w:r>
              <w:rPr>
                <w:rFonts w:ascii="宋体" w:hAnsi="宋体" w:eastAsia="宋体" w:cs="宋体"/>
                <w:szCs w:val="21"/>
              </w:rPr>
              <w:t>产业重点建设项目</w:t>
            </w: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界石铺红军长征旧址保护综合利用</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除险加固毛泽东旧居、红军楼；改善提升展陈设施；维修纪念馆门窗、屋面、沉降院面；设置旅游标识、交通标识；改造旧址纪念馆光电系统，建设广场、停车场等。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宋体" w:hAnsi="宋体" w:eastAsia="宋体" w:cs="宋体"/>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成纪故城遗址文物保护利用设施</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建设城墙防护栏4200平方米、界桩200个、标志牌20个、管护用房300平方米，硬化道路500米，栽植绿化苗木2000棵，安装消防、安防设施各1套。</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城川镇靳寺村乡村旅游“样板村”建设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改造靳寺村、吴庙村临街道路，村民住宅、商铺，新建苹果主题广场、人行步道、硬化道路，完成绿化、亮化及基础设施配套。</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855" w:type="dxa"/>
            <w:vMerge w:val="continue"/>
            <w:vAlign w:val="center"/>
          </w:tcPr>
          <w:p>
            <w:pPr>
              <w:jc w:val="center"/>
              <w:rPr>
                <w:rFonts w:ascii="Times New Roman" w:hAnsi="Times New Roman" w:cs="Times New Roman"/>
                <w:sz w:val="24"/>
                <w:szCs w:val="24"/>
              </w:rPr>
            </w:pPr>
          </w:p>
        </w:tc>
        <w:tc>
          <w:tcPr>
            <w:tcW w:w="2383" w:type="dxa"/>
            <w:vMerge w:val="continue"/>
            <w:vAlign w:val="center"/>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成纪文化广场</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建设成纪文化广场，打造成纪历史文化街、民俗文化街，建设游客集散中心、停车场，配置标识标牌、电子监控系统、路灯，布展伏羲大殿等。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界石铺镇继红村美丽村庄建设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改造提升村民文化中心及广场，铺装人行步道，安装路灯，建设游客接待中心、停车场，硬化产业道路等。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35°苹果谷景区建设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建设景区神秘谷玻璃栈道、高空滑索、景区标识标牌等。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万亩梨园风情带</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以八里大路、界石铺李堡、七里、高堡、西川、继红等美丽乡村资源为依托，完善沿途基础设施，修建驿站，打造特色旅游村落。</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“十四五”教育事业</w:t>
            </w:r>
          </w:p>
          <w:p>
            <w:pPr>
              <w:jc w:val="center"/>
              <w:rPr>
                <w:rFonts w:ascii="Times New Roman" w:hAnsi="Times New Roman" w:eastAsia="宋体" w:cs="Times New Roman"/>
                <w:szCs w:val="21"/>
              </w:rPr>
            </w:pPr>
            <w:r>
              <w:rPr>
                <w:rFonts w:ascii="宋体" w:hAnsi="宋体" w:eastAsia="宋体" w:cs="宋体"/>
                <w:szCs w:val="21"/>
              </w:rPr>
              <w:t xml:space="preserve">重点建设项目 </w:t>
            </w:r>
            <w:r>
              <w:rPr>
                <w:rFonts w:ascii="Times New Roman" w:hAnsi="Times New Roman" w:eastAsia="宋体" w:cs="Times New Roman"/>
                <w:szCs w:val="21"/>
              </w:rPr>
              <w:t xml:space="preserve">    </w:t>
            </w: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幼儿园建设</w:t>
            </w:r>
          </w:p>
        </w:tc>
        <w:tc>
          <w:tcPr>
            <w:tcW w:w="6345" w:type="dxa"/>
            <w:vAlign w:val="center"/>
          </w:tcPr>
          <w:p>
            <w:pPr>
              <w:rPr>
                <w:rFonts w:ascii="Times New Roman" w:hAnsi="Times New Roman" w:eastAsia="宋体" w:cs="Times New Roman"/>
                <w:szCs w:val="21"/>
              </w:rPr>
            </w:pPr>
            <w:r>
              <w:rPr>
                <w:rFonts w:hint="eastAsia" w:ascii="Times New Roman" w:hAnsi="Times New Roman" w:eastAsia="宋体" w:cs="Times New Roman"/>
                <w:szCs w:val="21"/>
              </w:rPr>
              <w:t>续建第三幼儿园，</w:t>
            </w:r>
            <w:r>
              <w:rPr>
                <w:rFonts w:ascii="Times New Roman" w:hAnsi="Times New Roman" w:eastAsia="宋体" w:cs="Times New Roman"/>
                <w:szCs w:val="21"/>
              </w:rPr>
              <w:t>新建第四幼儿园、第五幼儿园。</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义务教育能力提升</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改扩建新城小学，维修改造祁川初中、田堡初中等乡（镇）寄宿制学校校舍和附属设施，购置教育教学设备。</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教育强国推进工程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新建城关初中综合教学楼</w:t>
            </w:r>
            <w:r>
              <w:rPr>
                <w:rFonts w:hint="eastAsia" w:ascii="Times New Roman" w:hAnsi="Times New Roman" w:eastAsia="宋体" w:cs="Times New Roman"/>
                <w:szCs w:val="21"/>
              </w:rPr>
              <w:t>、高城寨小学综合教学楼、威戎中学运动场、</w:t>
            </w:r>
            <w:r>
              <w:rPr>
                <w:rFonts w:ascii="Times New Roman" w:hAnsi="Times New Roman" w:eastAsia="宋体" w:cs="Times New Roman"/>
                <w:szCs w:val="21"/>
              </w:rPr>
              <w:t>城关初中运动场</w:t>
            </w:r>
            <w:r>
              <w:rPr>
                <w:rFonts w:hint="eastAsia" w:ascii="Times New Roman" w:hAnsi="Times New Roman" w:eastAsia="宋体" w:cs="Times New Roman"/>
                <w:szCs w:val="21"/>
              </w:rPr>
              <w:t>、高城寨小学运动场、细巷中心小学教师周转宿舍等</w:t>
            </w:r>
            <w:r>
              <w:rPr>
                <w:rFonts w:ascii="Times New Roman" w:hAnsi="Times New Roman" w:eastAsia="宋体" w:cs="Times New Roman"/>
                <w:szCs w:val="21"/>
              </w:rPr>
              <w:t>。</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省列为民办实事</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新建石咀初中周转宿舍、白草屲初中食堂，新建及维修原安初中学校厕所，为古城初中等39所学校购置食堂设备。</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高中学校办学条件改善</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建设文萃中学综合楼1幢。</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教育信息化建设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为高中学校购置智慧黑板、电子班牌等，为义务教育阶段学校和幼儿园升级多媒体设备、改造校园网络，安装高清录播教室、视频监控安防系统等。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“十四五”社会保障</w:t>
            </w:r>
          </w:p>
          <w:p>
            <w:pPr>
              <w:jc w:val="center"/>
              <w:rPr>
                <w:rFonts w:ascii="Times New Roman" w:hAnsi="Times New Roman" w:eastAsia="宋体" w:cs="Times New Roman"/>
                <w:szCs w:val="21"/>
              </w:rPr>
            </w:pPr>
            <w:r>
              <w:rPr>
                <w:rFonts w:ascii="宋体" w:hAnsi="宋体" w:eastAsia="宋体" w:cs="宋体"/>
                <w:szCs w:val="21"/>
              </w:rPr>
              <w:t>重点建设项目</w:t>
            </w: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老年养护院建设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新建老年养护院1处，设置床位200张、配套建设相关设施等。</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威戎中心敬老院扩建</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在威戎中心敬老院院内新建老年养护楼1幢，内设居室、活动室、医务室、洗澡间等，设置床位。</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rPr>
              <w:t>残疾人康复中心康养服务能力提升</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rPr>
              <w:t>改造提升残疾人康复中心324平方米，购置儿童康复设备316台（套）、成人康复设备204台（套）。</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5" w:type="dxa"/>
            <w:vMerge w:val="continue"/>
          </w:tcPr>
          <w:p>
            <w:pPr>
              <w:jc w:val="center"/>
              <w:rPr>
                <w:rFonts w:ascii="Times New Roman" w:hAnsi="Times New Roman" w:cs="Times New Roman"/>
                <w:sz w:val="24"/>
                <w:szCs w:val="24"/>
              </w:rPr>
            </w:pPr>
          </w:p>
        </w:tc>
        <w:tc>
          <w:tcPr>
            <w:tcW w:w="2383" w:type="dxa"/>
            <w:vMerge w:val="continue"/>
          </w:tcPr>
          <w:p>
            <w:pPr>
              <w:jc w:val="center"/>
              <w:rPr>
                <w:rFonts w:ascii="Times New Roman" w:hAnsi="Times New Roman" w:eastAsia="宋体" w:cs="Times New Roman"/>
                <w:szCs w:val="21"/>
              </w:rPr>
            </w:pPr>
          </w:p>
        </w:tc>
        <w:tc>
          <w:tcPr>
            <w:tcW w:w="2955" w:type="dxa"/>
            <w:vAlign w:val="center"/>
          </w:tcPr>
          <w:p>
            <w:pPr>
              <w:jc w:val="left"/>
              <w:rPr>
                <w:rFonts w:asciiTheme="minorEastAsia" w:hAnsiTheme="minorEastAsia" w:cstheme="minorEastAsia"/>
                <w:szCs w:val="21"/>
              </w:rPr>
            </w:pPr>
            <w:r>
              <w:rPr>
                <w:rFonts w:hint="eastAsia" w:asciiTheme="minorEastAsia" w:hAnsiTheme="minorEastAsia" w:cstheme="minorEastAsia"/>
                <w:szCs w:val="21"/>
              </w:rPr>
              <w:t>残疾人托养中心</w:t>
            </w:r>
          </w:p>
        </w:tc>
        <w:tc>
          <w:tcPr>
            <w:tcW w:w="6345" w:type="dxa"/>
            <w:vAlign w:val="center"/>
          </w:tcPr>
          <w:p>
            <w:pPr>
              <w:rPr>
                <w:rFonts w:asciiTheme="minorEastAsia" w:hAnsiTheme="minorEastAsia" w:cstheme="minorEastAsia"/>
                <w:szCs w:val="21"/>
              </w:rPr>
            </w:pPr>
            <w:r>
              <w:rPr>
                <w:rFonts w:hint="eastAsia" w:asciiTheme="minorEastAsia" w:hAnsiTheme="minorEastAsia" w:cstheme="minorEastAsia"/>
                <w:szCs w:val="21"/>
              </w:rPr>
              <w:t>建成托养中心1处2345平方米。</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55" w:type="dxa"/>
            <w:vMerge w:val="restart"/>
            <w:vAlign w:val="center"/>
          </w:tcPr>
          <w:p>
            <w:pPr>
              <w:jc w:val="center"/>
              <w:rPr>
                <w:rFonts w:ascii="Times New Roman" w:hAnsi="Times New Roman" w:cs="Times New Roman"/>
                <w:sz w:val="24"/>
                <w:szCs w:val="24"/>
              </w:rPr>
            </w:pPr>
            <w:r>
              <w:rPr>
                <w:rFonts w:ascii="Times New Roman" w:hAnsi="Times New Roman" w:cs="Times New Roman"/>
                <w:sz w:val="24"/>
                <w:szCs w:val="24"/>
              </w:rPr>
              <w:t>14</w:t>
            </w:r>
          </w:p>
        </w:tc>
        <w:tc>
          <w:tcPr>
            <w:tcW w:w="2383" w:type="dxa"/>
            <w:vMerge w:val="restart"/>
            <w:vAlign w:val="center"/>
          </w:tcPr>
          <w:p>
            <w:pPr>
              <w:jc w:val="center"/>
              <w:rPr>
                <w:rFonts w:ascii="宋体" w:hAnsi="宋体" w:eastAsia="宋体" w:cs="宋体"/>
                <w:szCs w:val="21"/>
              </w:rPr>
            </w:pPr>
            <w:r>
              <w:rPr>
                <w:rFonts w:ascii="宋体" w:hAnsi="宋体" w:eastAsia="宋体" w:cs="宋体"/>
                <w:szCs w:val="21"/>
              </w:rPr>
              <w:t>“十四五”卫生健康</w:t>
            </w:r>
          </w:p>
          <w:p>
            <w:pPr>
              <w:jc w:val="center"/>
              <w:rPr>
                <w:rFonts w:ascii="Times New Roman" w:hAnsi="Times New Roman" w:eastAsia="宋体" w:cs="Times New Roman"/>
                <w:szCs w:val="21"/>
              </w:rPr>
            </w:pPr>
            <w:r>
              <w:rPr>
                <w:rFonts w:ascii="宋体" w:hAnsi="宋体" w:eastAsia="宋体" w:cs="宋体"/>
                <w:szCs w:val="21"/>
              </w:rPr>
              <w:t>重点建设项目</w:t>
            </w:r>
          </w:p>
        </w:tc>
        <w:tc>
          <w:tcPr>
            <w:tcW w:w="2955" w:type="dxa"/>
            <w:vAlign w:val="center"/>
          </w:tcPr>
          <w:p>
            <w:pPr>
              <w:jc w:val="left"/>
              <w:rPr>
                <w:rFonts w:ascii="Times New Roman" w:hAnsi="Times New Roman" w:eastAsia="宋体" w:cs="Times New Roman"/>
                <w:szCs w:val="21"/>
              </w:rPr>
            </w:pPr>
            <w:r>
              <w:rPr>
                <w:rFonts w:ascii="Times New Roman" w:hAnsi="Times New Roman" w:eastAsia="宋体" w:cs="Times New Roman"/>
                <w:szCs w:val="21"/>
              </w:rPr>
              <w:t>医疗废弃物集中处理中心</w:t>
            </w:r>
            <w:r>
              <w:rPr>
                <w:rFonts w:hint="eastAsia" w:ascii="Times New Roman" w:hAnsi="Times New Roman" w:eastAsia="宋体" w:cs="Times New Roman"/>
                <w:szCs w:val="21"/>
              </w:rPr>
              <w:t>建设</w:t>
            </w:r>
          </w:p>
        </w:tc>
        <w:tc>
          <w:tcPr>
            <w:tcW w:w="6345" w:type="dxa"/>
            <w:vAlign w:val="center"/>
          </w:tcPr>
          <w:p>
            <w:pPr>
              <w:rPr>
                <w:rFonts w:ascii="Times New Roman" w:hAnsi="Times New Roman" w:eastAsia="宋体" w:cs="Times New Roman"/>
                <w:szCs w:val="21"/>
              </w:rPr>
            </w:pPr>
            <w:r>
              <w:rPr>
                <w:rFonts w:ascii="Times New Roman" w:hAnsi="Times New Roman" w:eastAsia="宋体" w:cs="Times New Roman"/>
                <w:szCs w:val="21"/>
              </w:rPr>
              <w:t>建设生产厂房、综合办公室、门卫室，购置相关设备。</w:t>
            </w:r>
          </w:p>
        </w:tc>
        <w:tc>
          <w:tcPr>
            <w:tcW w:w="780" w:type="dxa"/>
          </w:tcPr>
          <w:p>
            <w:pPr>
              <w:jc w:val="center"/>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55" w:type="dxa"/>
            <w:vMerge w:val="continue"/>
            <w:vAlign w:val="center"/>
          </w:tcPr>
          <w:p>
            <w:pPr>
              <w:jc w:val="center"/>
              <w:rPr>
                <w:rFonts w:ascii="宋体" w:hAnsi="宋体" w:eastAsia="宋体" w:cs="宋体"/>
                <w:szCs w:val="21"/>
              </w:rPr>
            </w:pPr>
          </w:p>
        </w:tc>
        <w:tc>
          <w:tcPr>
            <w:tcW w:w="2383" w:type="dxa"/>
            <w:vMerge w:val="continue"/>
            <w:vAlign w:val="center"/>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中医院中医治疗业务楼建设</w:t>
            </w:r>
          </w:p>
        </w:tc>
        <w:tc>
          <w:tcPr>
            <w:tcW w:w="6345" w:type="dxa"/>
            <w:vAlign w:val="center"/>
          </w:tcPr>
          <w:p>
            <w:pPr>
              <w:rPr>
                <w:rFonts w:ascii="宋体" w:hAnsi="宋体" w:eastAsia="宋体" w:cs="宋体"/>
                <w:szCs w:val="21"/>
              </w:rPr>
            </w:pPr>
            <w:r>
              <w:rPr>
                <w:rFonts w:hint="eastAsia" w:ascii="宋体" w:hAnsi="宋体" w:eastAsia="宋体" w:cs="宋体"/>
                <w:szCs w:val="21"/>
              </w:rPr>
              <w:t>新建中医治疗业务楼1幢2.15万平方米。</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55" w:type="dxa"/>
            <w:vMerge w:val="continue"/>
            <w:vAlign w:val="center"/>
          </w:tcPr>
          <w:p>
            <w:pPr>
              <w:jc w:val="center"/>
              <w:rPr>
                <w:rFonts w:ascii="宋体" w:hAnsi="宋体" w:eastAsia="宋体" w:cs="宋体"/>
                <w:szCs w:val="21"/>
              </w:rPr>
            </w:pPr>
          </w:p>
        </w:tc>
        <w:tc>
          <w:tcPr>
            <w:tcW w:w="2383" w:type="dxa"/>
            <w:vMerge w:val="continue"/>
            <w:vAlign w:val="center"/>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社区卫生服务中心（第二人民医院）服务能力提升</w:t>
            </w:r>
          </w:p>
        </w:tc>
        <w:tc>
          <w:tcPr>
            <w:tcW w:w="6345" w:type="dxa"/>
            <w:vAlign w:val="center"/>
          </w:tcPr>
          <w:p>
            <w:pPr>
              <w:rPr>
                <w:rFonts w:ascii="宋体" w:hAnsi="宋体" w:eastAsia="宋体" w:cs="宋体"/>
                <w:szCs w:val="21"/>
              </w:rPr>
            </w:pPr>
            <w:r>
              <w:rPr>
                <w:rFonts w:hint="eastAsia" w:ascii="宋体" w:hAnsi="宋体" w:eastAsia="宋体" w:cs="宋体"/>
                <w:szCs w:val="21"/>
              </w:rPr>
              <w:t>改造原中医院医技楼、住院楼、急救中心业务楼，总建筑面积1.43万平方米，配套室外附属工程；新建发热门诊158.76平方米、门房41.76平方米。</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5" w:type="dxa"/>
            <w:vMerge w:val="continue"/>
            <w:vAlign w:val="center"/>
          </w:tcPr>
          <w:p>
            <w:pPr>
              <w:jc w:val="center"/>
              <w:rPr>
                <w:rFonts w:ascii="宋体" w:hAnsi="宋体" w:eastAsia="宋体" w:cs="宋体"/>
                <w:szCs w:val="21"/>
              </w:rPr>
            </w:pPr>
          </w:p>
        </w:tc>
        <w:tc>
          <w:tcPr>
            <w:tcW w:w="2383" w:type="dxa"/>
            <w:vMerge w:val="continue"/>
            <w:vAlign w:val="center"/>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普惠托育中心建设</w:t>
            </w:r>
          </w:p>
        </w:tc>
        <w:tc>
          <w:tcPr>
            <w:tcW w:w="6345" w:type="dxa"/>
            <w:vAlign w:val="center"/>
          </w:tcPr>
          <w:p>
            <w:pPr>
              <w:rPr>
                <w:rFonts w:ascii="宋体" w:hAnsi="宋体" w:eastAsia="宋体" w:cs="宋体"/>
                <w:szCs w:val="21"/>
              </w:rPr>
            </w:pPr>
            <w:r>
              <w:rPr>
                <w:rFonts w:hint="eastAsia" w:ascii="宋体" w:hAnsi="宋体" w:eastAsia="宋体" w:cs="宋体"/>
                <w:szCs w:val="21"/>
              </w:rPr>
              <w:t>在妇幼保健院新建托育中心1处7000平方米，设置托位500个，内设托育室、亲子娱乐室、备餐室、早教室、活动室、卫生保健室等，配置相关设施设备。</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第二人民医院医疗服务能力提升</w:t>
            </w:r>
          </w:p>
        </w:tc>
        <w:tc>
          <w:tcPr>
            <w:tcW w:w="6345" w:type="dxa"/>
            <w:vAlign w:val="center"/>
          </w:tcPr>
          <w:p>
            <w:pPr>
              <w:rPr>
                <w:rFonts w:ascii="宋体" w:hAnsi="宋体" w:eastAsia="宋体" w:cs="宋体"/>
                <w:szCs w:val="21"/>
              </w:rPr>
            </w:pPr>
            <w:r>
              <w:rPr>
                <w:rFonts w:hint="eastAsia" w:ascii="宋体" w:hAnsi="宋体" w:eastAsia="宋体" w:cs="宋体"/>
                <w:szCs w:val="21"/>
              </w:rPr>
              <w:t>在城关社区卫生服务中心新建标准化手术室、消毒供应室、5A级预防接种门诊，改造急诊楼，建设信息化系统、放射防护工程、污水处理系统，安装天然气锅炉，购置62排CT、多功能病床、腹腔镜高清系统等医疗设备。</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四河镇卫生院整体迁建</w:t>
            </w:r>
          </w:p>
        </w:tc>
        <w:tc>
          <w:tcPr>
            <w:tcW w:w="6345" w:type="dxa"/>
            <w:vAlign w:val="center"/>
          </w:tcPr>
          <w:p>
            <w:pPr>
              <w:rPr>
                <w:rFonts w:ascii="宋体" w:hAnsi="宋体" w:eastAsia="宋体" w:cs="宋体"/>
                <w:szCs w:val="21"/>
              </w:rPr>
            </w:pPr>
            <w:r>
              <w:rPr>
                <w:rFonts w:hint="eastAsia" w:ascii="宋体" w:hAnsi="宋体" w:eastAsia="宋体" w:cs="宋体"/>
                <w:szCs w:val="21"/>
              </w:rPr>
              <w:t>新建业务楼1幢5414平方米，敷设管网，硬化道路，配套围墙、绿化等附属工程。</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灵芝乡卫生院整体迁建</w:t>
            </w:r>
          </w:p>
        </w:tc>
        <w:tc>
          <w:tcPr>
            <w:tcW w:w="6345" w:type="dxa"/>
            <w:vAlign w:val="center"/>
          </w:tcPr>
          <w:p>
            <w:pPr>
              <w:rPr>
                <w:rFonts w:ascii="宋体" w:hAnsi="宋体" w:eastAsia="宋体" w:cs="宋体"/>
                <w:szCs w:val="21"/>
              </w:rPr>
            </w:pPr>
            <w:r>
              <w:rPr>
                <w:rFonts w:hint="eastAsia" w:ascii="宋体" w:hAnsi="宋体" w:eastAsia="宋体" w:cs="宋体"/>
                <w:szCs w:val="21"/>
              </w:rPr>
              <w:t>新建业务楼1幢4959平方米，敷设管网，硬化道路，配套围墙、绿化等附属工程。</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县人民医技综合楼建设</w:t>
            </w:r>
          </w:p>
        </w:tc>
        <w:tc>
          <w:tcPr>
            <w:tcW w:w="6345" w:type="dxa"/>
            <w:vAlign w:val="center"/>
          </w:tcPr>
          <w:p>
            <w:pPr>
              <w:rPr>
                <w:rFonts w:ascii="宋体" w:hAnsi="宋体" w:eastAsia="宋体" w:cs="宋体"/>
                <w:szCs w:val="21"/>
              </w:rPr>
            </w:pPr>
            <w:r>
              <w:rPr>
                <w:rFonts w:hint="eastAsia" w:ascii="宋体" w:hAnsi="宋体" w:eastAsia="宋体" w:cs="宋体"/>
                <w:szCs w:val="21"/>
              </w:rPr>
              <w:t>在县人民医院新建业务楼1幢1.31万平方米，铺装室外2000平方米，绿化300平方米。</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疾控中心检测检验及应急能力提升</w:t>
            </w:r>
          </w:p>
        </w:tc>
        <w:tc>
          <w:tcPr>
            <w:tcW w:w="6345" w:type="dxa"/>
            <w:vAlign w:val="center"/>
          </w:tcPr>
          <w:p>
            <w:pPr>
              <w:rPr>
                <w:rFonts w:ascii="宋体" w:hAnsi="宋体" w:eastAsia="宋体" w:cs="宋体"/>
                <w:szCs w:val="21"/>
              </w:rPr>
            </w:pPr>
            <w:r>
              <w:rPr>
                <w:rFonts w:hint="eastAsia" w:ascii="宋体" w:hAnsi="宋体" w:eastAsia="宋体" w:cs="宋体"/>
                <w:szCs w:val="21"/>
              </w:rPr>
              <w:t>在疾控中心实验楼一、二楼改造实验室面积1064平方米，购置实验室检验检测设备44台、应急专用车辆2辆。</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亚定点医院建设</w:t>
            </w:r>
          </w:p>
        </w:tc>
        <w:tc>
          <w:tcPr>
            <w:tcW w:w="6345" w:type="dxa"/>
            <w:vAlign w:val="center"/>
          </w:tcPr>
          <w:p>
            <w:pPr>
              <w:rPr>
                <w:rFonts w:ascii="宋体" w:hAnsi="宋体" w:eastAsia="宋体" w:cs="宋体"/>
                <w:szCs w:val="21"/>
              </w:rPr>
            </w:pPr>
            <w:r>
              <w:rPr>
                <w:rFonts w:hint="eastAsia" w:ascii="宋体" w:hAnsi="宋体" w:eastAsia="宋体" w:cs="宋体"/>
                <w:szCs w:val="21"/>
              </w:rPr>
              <w:t>新建隔离方舱100间，医护区、功能检测区等舱间60间，配建给排水、污水处理系统、化粪池、围墙、绿化、大门等附属工程，购置相关医疗设备。</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亚定点医院传染病住院楼建设</w:t>
            </w:r>
          </w:p>
        </w:tc>
        <w:tc>
          <w:tcPr>
            <w:tcW w:w="6345" w:type="dxa"/>
            <w:vAlign w:val="center"/>
          </w:tcPr>
          <w:p>
            <w:pPr>
              <w:rPr>
                <w:rFonts w:ascii="宋体" w:hAnsi="宋体" w:eastAsia="宋体" w:cs="宋体"/>
                <w:szCs w:val="21"/>
              </w:rPr>
            </w:pPr>
            <w:r>
              <w:rPr>
                <w:rFonts w:hint="eastAsia" w:ascii="宋体" w:hAnsi="宋体" w:eastAsia="宋体" w:cs="宋体"/>
                <w:szCs w:val="21"/>
              </w:rPr>
              <w:t>新建综合楼1幢1.8万平方米，配建室外附属工程。</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855" w:type="dxa"/>
            <w:vMerge w:val="restart"/>
            <w:vAlign w:val="center"/>
          </w:tcPr>
          <w:p>
            <w:pPr>
              <w:jc w:val="center"/>
              <w:rPr>
                <w:rFonts w:ascii="宋体" w:hAnsi="宋体" w:eastAsia="宋体" w:cs="宋体"/>
                <w:szCs w:val="21"/>
              </w:rPr>
            </w:pPr>
            <w:r>
              <w:rPr>
                <w:rFonts w:hint="eastAsia" w:ascii="宋体" w:hAnsi="宋体" w:eastAsia="宋体" w:cs="宋体"/>
                <w:szCs w:val="21"/>
              </w:rPr>
              <w:t>15</w:t>
            </w:r>
          </w:p>
        </w:tc>
        <w:tc>
          <w:tcPr>
            <w:tcW w:w="2383" w:type="dxa"/>
            <w:vMerge w:val="restart"/>
            <w:vAlign w:val="center"/>
          </w:tcPr>
          <w:p>
            <w:pPr>
              <w:jc w:val="center"/>
              <w:rPr>
                <w:rFonts w:ascii="宋体" w:hAnsi="宋体" w:eastAsia="宋体" w:cs="宋体"/>
                <w:szCs w:val="21"/>
              </w:rPr>
            </w:pPr>
            <w:r>
              <w:rPr>
                <w:rFonts w:hint="eastAsia" w:ascii="宋体" w:hAnsi="宋体" w:eastAsia="宋体" w:cs="宋体"/>
                <w:szCs w:val="21"/>
              </w:rPr>
              <w:t>“十四五”生态环境保护和治理重点建设项目</w:t>
            </w:r>
          </w:p>
        </w:tc>
        <w:tc>
          <w:tcPr>
            <w:tcW w:w="2955" w:type="dxa"/>
            <w:vAlign w:val="center"/>
          </w:tcPr>
          <w:p>
            <w:pPr>
              <w:jc w:val="left"/>
              <w:rPr>
                <w:rFonts w:ascii="宋体" w:hAnsi="宋体" w:eastAsia="宋体" w:cs="宋体"/>
                <w:szCs w:val="21"/>
              </w:rPr>
            </w:pPr>
            <w:r>
              <w:rPr>
                <w:rFonts w:hint="eastAsia" w:ascii="宋体" w:hAnsi="宋体" w:eastAsia="宋体" w:cs="宋体"/>
                <w:szCs w:val="21"/>
              </w:rPr>
              <w:t>泾河葫芦河水环境综合整治项目（二期）</w:t>
            </w:r>
          </w:p>
        </w:tc>
        <w:tc>
          <w:tcPr>
            <w:tcW w:w="6345" w:type="dxa"/>
            <w:vAlign w:val="center"/>
          </w:tcPr>
          <w:p>
            <w:pPr>
              <w:rPr>
                <w:rFonts w:ascii="宋体" w:hAnsi="宋体" w:eastAsia="宋体" w:cs="宋体"/>
                <w:szCs w:val="21"/>
              </w:rPr>
            </w:pPr>
            <w:r>
              <w:rPr>
                <w:rFonts w:hint="eastAsia" w:ascii="宋体" w:hAnsi="宋体" w:eastAsia="宋体" w:cs="宋体"/>
                <w:szCs w:val="21"/>
              </w:rPr>
              <w:t>在一期湿地西南侧建设垂直潜流人工湿地+表面流人工湿地28.7亩。</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三北防护林工程</w:t>
            </w:r>
          </w:p>
        </w:tc>
        <w:tc>
          <w:tcPr>
            <w:tcW w:w="6345" w:type="dxa"/>
            <w:vAlign w:val="center"/>
          </w:tcPr>
          <w:p>
            <w:pPr>
              <w:rPr>
                <w:rFonts w:ascii="宋体" w:hAnsi="宋体" w:eastAsia="宋体" w:cs="宋体"/>
                <w:szCs w:val="21"/>
              </w:rPr>
            </w:pPr>
            <w:r>
              <w:rPr>
                <w:rFonts w:hint="eastAsia" w:ascii="宋体" w:hAnsi="宋体" w:eastAsia="宋体" w:cs="宋体"/>
                <w:szCs w:val="21"/>
              </w:rPr>
              <w:t>人工造林5万亩、退化林修复5万亩。</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仁大河、甘沟河、渝河水环境综合治理项目</w:t>
            </w:r>
          </w:p>
        </w:tc>
        <w:tc>
          <w:tcPr>
            <w:tcW w:w="6345" w:type="dxa"/>
            <w:vAlign w:val="center"/>
          </w:tcPr>
          <w:p>
            <w:pPr>
              <w:rPr>
                <w:rFonts w:ascii="宋体" w:hAnsi="宋体" w:eastAsia="宋体" w:cs="宋体"/>
                <w:szCs w:val="21"/>
              </w:rPr>
            </w:pPr>
            <w:r>
              <w:rPr>
                <w:rFonts w:hint="eastAsia" w:ascii="宋体" w:hAnsi="宋体" w:eastAsia="宋体" w:cs="宋体"/>
                <w:szCs w:val="21"/>
              </w:rPr>
              <w:t>治理河道14.34公里，新建生态护岸、隔离带、人工湿地、生态溢流坎、护栏、沟渠等。</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高界河生态环境保护</w:t>
            </w:r>
          </w:p>
        </w:tc>
        <w:tc>
          <w:tcPr>
            <w:tcW w:w="6345" w:type="dxa"/>
            <w:vAlign w:val="center"/>
          </w:tcPr>
          <w:p>
            <w:pPr>
              <w:rPr>
                <w:rFonts w:ascii="宋体" w:hAnsi="宋体" w:eastAsia="宋体" w:cs="宋体"/>
                <w:szCs w:val="21"/>
              </w:rPr>
            </w:pPr>
            <w:r>
              <w:rPr>
                <w:rFonts w:hint="eastAsia" w:ascii="宋体" w:hAnsi="宋体" w:eastAsia="宋体" w:cs="宋体"/>
                <w:szCs w:val="21"/>
              </w:rPr>
              <w:t>建设生态护堤32.3公里，建设生态过水坝、生态涵养林；在沿河13村设置垃圾转运站，布置小型污染净化槽、生活垃圾收集斗、立式垃圾收集箱。</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葫芦河八里红林（青兰高速大桥）--甘沟马坡（方圆污水处理厂）段流域生态环境保护</w:t>
            </w:r>
          </w:p>
        </w:tc>
        <w:tc>
          <w:tcPr>
            <w:tcW w:w="6345" w:type="dxa"/>
            <w:vAlign w:val="center"/>
          </w:tcPr>
          <w:p>
            <w:pPr>
              <w:rPr>
                <w:rFonts w:ascii="宋体" w:hAnsi="宋体" w:eastAsia="宋体" w:cs="宋体"/>
                <w:szCs w:val="21"/>
              </w:rPr>
            </w:pPr>
            <w:r>
              <w:rPr>
                <w:rFonts w:hint="eastAsia" w:ascii="宋体" w:hAnsi="宋体" w:eastAsia="宋体" w:cs="宋体"/>
                <w:szCs w:val="21"/>
              </w:rPr>
              <w:t>整治河道12公里，新建格宾石笼护坡、防冲坎，平整河床，开挖及回填导流渠清淤，清运垃圾，绿化河床及岸坡。</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葫芦河主要支流（李店河）生态治理</w:t>
            </w:r>
          </w:p>
        </w:tc>
        <w:tc>
          <w:tcPr>
            <w:tcW w:w="6345" w:type="dxa"/>
            <w:vAlign w:val="center"/>
          </w:tcPr>
          <w:p>
            <w:pPr>
              <w:rPr>
                <w:rFonts w:ascii="宋体" w:hAnsi="宋体" w:eastAsia="宋体" w:cs="宋体"/>
                <w:szCs w:val="21"/>
              </w:rPr>
            </w:pPr>
            <w:r>
              <w:rPr>
                <w:rFonts w:hint="eastAsia" w:ascii="宋体" w:hAnsi="宋体" w:eastAsia="宋体" w:cs="宋体"/>
                <w:szCs w:val="21"/>
              </w:rPr>
              <w:t>治理河长12.54公里，新建生态护岸20.61公里。</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葫芦河（四河段）水环境综合治理</w:t>
            </w:r>
          </w:p>
        </w:tc>
        <w:tc>
          <w:tcPr>
            <w:tcW w:w="6345" w:type="dxa"/>
            <w:vAlign w:val="center"/>
          </w:tcPr>
          <w:p>
            <w:pPr>
              <w:rPr>
                <w:rFonts w:ascii="宋体" w:hAnsi="宋体" w:eastAsia="宋体" w:cs="宋体"/>
                <w:szCs w:val="21"/>
              </w:rPr>
            </w:pPr>
            <w:r>
              <w:rPr>
                <w:rFonts w:hint="eastAsia" w:ascii="宋体" w:hAnsi="宋体" w:eastAsia="宋体" w:cs="宋体"/>
                <w:szCs w:val="21"/>
              </w:rPr>
              <w:t>治理葫芦河四河段河道8公里，修建生态护岸15.95公里、生态沟渠0.12公里、生态隔离带5.4平方公里；清理河道湖库垃圾4.15万吨、河湖污染底泥0.16万立方米。</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甘沟河（四河至雷黄段）河堤治理</w:t>
            </w:r>
          </w:p>
        </w:tc>
        <w:tc>
          <w:tcPr>
            <w:tcW w:w="6345" w:type="dxa"/>
            <w:vAlign w:val="center"/>
          </w:tcPr>
          <w:p>
            <w:pPr>
              <w:rPr>
                <w:rFonts w:ascii="宋体" w:hAnsi="宋体" w:eastAsia="宋体" w:cs="宋体"/>
                <w:szCs w:val="21"/>
              </w:rPr>
            </w:pPr>
            <w:r>
              <w:rPr>
                <w:rFonts w:hint="eastAsia" w:ascii="宋体" w:hAnsi="宋体" w:eastAsia="宋体" w:cs="宋体"/>
                <w:szCs w:val="21"/>
              </w:rPr>
              <w:t>治理河长8.04公里，新建排水涵管10座。</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葫芦河（西滨河路段）生态堤防建设</w:t>
            </w:r>
          </w:p>
        </w:tc>
        <w:tc>
          <w:tcPr>
            <w:tcW w:w="6345" w:type="dxa"/>
            <w:vAlign w:val="center"/>
          </w:tcPr>
          <w:p>
            <w:pPr>
              <w:rPr>
                <w:rFonts w:ascii="宋体" w:hAnsi="宋体" w:eastAsia="宋体" w:cs="宋体"/>
                <w:szCs w:val="21"/>
              </w:rPr>
            </w:pPr>
            <w:r>
              <w:rPr>
                <w:rFonts w:hint="eastAsia" w:ascii="宋体" w:hAnsi="宋体" w:eastAsia="宋体" w:cs="宋体"/>
                <w:szCs w:val="21"/>
              </w:rPr>
              <w:t>治理河道中心线2.3公里，新建河堤3.9公里。</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甘渭河曹务段河堤治理</w:t>
            </w:r>
          </w:p>
        </w:tc>
        <w:tc>
          <w:tcPr>
            <w:tcW w:w="6345" w:type="dxa"/>
            <w:vAlign w:val="center"/>
          </w:tcPr>
          <w:p>
            <w:pPr>
              <w:rPr>
                <w:rFonts w:ascii="宋体" w:hAnsi="宋体" w:eastAsia="宋体" w:cs="宋体"/>
                <w:szCs w:val="21"/>
              </w:rPr>
            </w:pPr>
            <w:r>
              <w:rPr>
                <w:rFonts w:hint="eastAsia" w:ascii="宋体" w:hAnsi="宋体" w:eastAsia="宋体" w:cs="宋体"/>
                <w:szCs w:val="21"/>
              </w:rPr>
              <w:t>治理河道中心线长2.2公里。</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黄河流域生态保护和高质量发展项目静宁垃圾中转站建设</w:t>
            </w:r>
          </w:p>
        </w:tc>
        <w:tc>
          <w:tcPr>
            <w:tcW w:w="6345" w:type="dxa"/>
            <w:vAlign w:val="center"/>
          </w:tcPr>
          <w:p>
            <w:pPr>
              <w:rPr>
                <w:rFonts w:ascii="宋体" w:hAnsi="宋体" w:eastAsia="宋体" w:cs="宋体"/>
                <w:szCs w:val="21"/>
              </w:rPr>
            </w:pPr>
            <w:r>
              <w:rPr>
                <w:rFonts w:hint="eastAsia" w:ascii="宋体" w:hAnsi="宋体" w:eastAsia="宋体" w:cs="宋体"/>
                <w:szCs w:val="21"/>
              </w:rPr>
              <w:t>新建垃圾中转站1座359.1平方米，配建化粪池6立方米、一体式污水处理设施15立方米、围墙82.5米、毛石护坡91.1米，硬化场地907.15平方米，铺设渗水砖106.35平方米，绿化398.9平方米，购置压缩机、垃圾车等设备设施。</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历史遗留矿山及乡村生态修复综合治理项目</w:t>
            </w:r>
          </w:p>
        </w:tc>
        <w:tc>
          <w:tcPr>
            <w:tcW w:w="6345" w:type="dxa"/>
            <w:vAlign w:val="center"/>
          </w:tcPr>
          <w:p>
            <w:pPr>
              <w:rPr>
                <w:rFonts w:ascii="宋体" w:hAnsi="宋体" w:eastAsia="宋体" w:cs="宋体"/>
                <w:szCs w:val="21"/>
              </w:rPr>
            </w:pPr>
            <w:r>
              <w:rPr>
                <w:rFonts w:hint="eastAsia" w:ascii="宋体" w:hAnsi="宋体" w:eastAsia="宋体" w:cs="宋体"/>
                <w:szCs w:val="21"/>
              </w:rPr>
              <w:t>对北峡石料厂、东峡石料厂、北山粘土矿、罐子峡煤矿及18个拟淘汰砖瓦粘土矿等历史遗留矿山进行生态修复；综合治理四河、雷大、细巷、双岘、红寺等乡（镇）6处不稳定斜坡等。</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城川镇污水再生利用及沙化土壤改良项目</w:t>
            </w:r>
          </w:p>
        </w:tc>
        <w:tc>
          <w:tcPr>
            <w:tcW w:w="6345" w:type="dxa"/>
            <w:vAlign w:val="center"/>
          </w:tcPr>
          <w:p>
            <w:pPr>
              <w:rPr>
                <w:rFonts w:ascii="宋体" w:hAnsi="宋体" w:eastAsia="宋体" w:cs="宋体"/>
                <w:szCs w:val="21"/>
              </w:rPr>
            </w:pPr>
            <w:r>
              <w:rPr>
                <w:rFonts w:hint="eastAsia" w:ascii="宋体" w:hAnsi="宋体" w:eastAsia="宋体" w:cs="宋体"/>
                <w:szCs w:val="21"/>
              </w:rPr>
              <w:t>新建污水处理池1座，铺设再生水资源管道，改良土壤，购置污水处理设备，建设苹果品种试验站、采穗圃、扩繁园、新品种成果展示园及灌溉设施。</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855" w:type="dxa"/>
            <w:vMerge w:val="continue"/>
          </w:tcPr>
          <w:p>
            <w:pPr>
              <w:jc w:val="center"/>
              <w:rPr>
                <w:rFonts w:ascii="宋体" w:hAnsi="宋体" w:eastAsia="宋体" w:cs="宋体"/>
                <w:szCs w:val="21"/>
              </w:rPr>
            </w:pPr>
          </w:p>
        </w:tc>
        <w:tc>
          <w:tcPr>
            <w:tcW w:w="2383" w:type="dxa"/>
            <w:vMerge w:val="continue"/>
          </w:tcPr>
          <w:p>
            <w:pPr>
              <w:jc w:val="center"/>
              <w:rPr>
                <w:rFonts w:ascii="宋体" w:hAnsi="宋体" w:eastAsia="宋体" w:cs="宋体"/>
                <w:szCs w:val="21"/>
              </w:rPr>
            </w:pPr>
          </w:p>
        </w:tc>
        <w:tc>
          <w:tcPr>
            <w:tcW w:w="2955" w:type="dxa"/>
            <w:vAlign w:val="center"/>
          </w:tcPr>
          <w:p>
            <w:pPr>
              <w:jc w:val="left"/>
              <w:rPr>
                <w:rFonts w:ascii="宋体" w:hAnsi="宋体" w:eastAsia="宋体" w:cs="宋体"/>
                <w:szCs w:val="21"/>
              </w:rPr>
            </w:pPr>
            <w:r>
              <w:rPr>
                <w:rFonts w:hint="eastAsia" w:ascii="宋体" w:hAnsi="宋体" w:eastAsia="宋体" w:cs="宋体"/>
                <w:szCs w:val="21"/>
              </w:rPr>
              <w:t>黄河流域重点镇污水处理设施及管网改扩建工程</w:t>
            </w:r>
          </w:p>
        </w:tc>
        <w:tc>
          <w:tcPr>
            <w:tcW w:w="6345" w:type="dxa"/>
            <w:vAlign w:val="center"/>
          </w:tcPr>
          <w:p>
            <w:pPr>
              <w:rPr>
                <w:rFonts w:ascii="宋体" w:hAnsi="宋体" w:eastAsia="宋体" w:cs="宋体"/>
                <w:szCs w:val="21"/>
              </w:rPr>
            </w:pPr>
            <w:r>
              <w:rPr>
                <w:rFonts w:hint="eastAsia" w:ascii="宋体" w:hAnsi="宋体" w:eastAsia="宋体" w:cs="宋体"/>
                <w:szCs w:val="21"/>
              </w:rPr>
              <w:t>对治平镇、甘沟镇、威戎镇、仁大镇、李店镇、界石铺镇等6个乡（镇）部分区域内的污水处理设施及管网进行改扩建，敷设管网30.08公里。</w:t>
            </w:r>
          </w:p>
        </w:tc>
        <w:tc>
          <w:tcPr>
            <w:tcW w:w="780" w:type="dxa"/>
          </w:tcPr>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855" w:type="dxa"/>
            <w:vAlign w:val="center"/>
          </w:tcPr>
          <w:p>
            <w:pPr>
              <w:jc w:val="center"/>
              <w:rPr>
                <w:rFonts w:ascii="宋体" w:hAnsi="宋体" w:eastAsia="宋体" w:cs="宋体"/>
                <w:szCs w:val="21"/>
              </w:rPr>
            </w:pPr>
            <w:r>
              <w:rPr>
                <w:rFonts w:hint="eastAsia" w:ascii="宋体" w:hAnsi="宋体" w:eastAsia="宋体" w:cs="宋体"/>
                <w:szCs w:val="21"/>
              </w:rPr>
              <w:t>16</w:t>
            </w:r>
          </w:p>
        </w:tc>
        <w:tc>
          <w:tcPr>
            <w:tcW w:w="2383" w:type="dxa"/>
            <w:vAlign w:val="center"/>
          </w:tcPr>
          <w:p>
            <w:pPr>
              <w:jc w:val="center"/>
              <w:rPr>
                <w:rFonts w:ascii="宋体" w:hAnsi="宋体" w:eastAsia="宋体" w:cs="宋体"/>
                <w:szCs w:val="21"/>
              </w:rPr>
            </w:pPr>
            <w:r>
              <w:rPr>
                <w:rFonts w:hint="eastAsia" w:ascii="宋体" w:hAnsi="宋体" w:eastAsia="宋体" w:cs="宋体"/>
                <w:szCs w:val="21"/>
              </w:rPr>
              <w:t>“十四五”创业就业</w:t>
            </w:r>
          </w:p>
          <w:p>
            <w:pPr>
              <w:jc w:val="center"/>
              <w:rPr>
                <w:rFonts w:ascii="宋体" w:hAnsi="宋体" w:eastAsia="宋体" w:cs="宋体"/>
                <w:szCs w:val="21"/>
              </w:rPr>
            </w:pPr>
            <w:r>
              <w:rPr>
                <w:rFonts w:hint="eastAsia" w:ascii="宋体" w:hAnsi="宋体" w:eastAsia="宋体" w:cs="宋体"/>
                <w:szCs w:val="21"/>
              </w:rPr>
              <w:t>重点建设项目</w:t>
            </w:r>
          </w:p>
        </w:tc>
        <w:tc>
          <w:tcPr>
            <w:tcW w:w="2955" w:type="dxa"/>
            <w:vAlign w:val="center"/>
          </w:tcPr>
          <w:p>
            <w:pPr>
              <w:jc w:val="left"/>
              <w:rPr>
                <w:rFonts w:ascii="宋体" w:hAnsi="宋体" w:eastAsia="宋体" w:cs="宋体"/>
                <w:szCs w:val="21"/>
              </w:rPr>
            </w:pPr>
            <w:r>
              <w:rPr>
                <w:rFonts w:hint="eastAsia" w:ascii="宋体" w:hAnsi="宋体" w:eastAsia="宋体" w:cs="宋体"/>
                <w:szCs w:val="21"/>
              </w:rPr>
              <w:t>公共实训基地</w:t>
            </w:r>
          </w:p>
        </w:tc>
        <w:tc>
          <w:tcPr>
            <w:tcW w:w="6345" w:type="dxa"/>
            <w:vAlign w:val="center"/>
          </w:tcPr>
          <w:p>
            <w:pPr>
              <w:rPr>
                <w:rFonts w:ascii="宋体" w:hAnsi="宋体" w:eastAsia="宋体" w:cs="宋体"/>
                <w:szCs w:val="21"/>
              </w:rPr>
            </w:pPr>
            <w:r>
              <w:rPr>
                <w:rFonts w:hint="eastAsia" w:ascii="宋体" w:hAnsi="宋体" w:eastAsia="宋体" w:cs="宋体"/>
                <w:szCs w:val="21"/>
              </w:rPr>
              <w:t>新建实训楼1幢6000平方米，购置各类培训实训设备。</w:t>
            </w:r>
          </w:p>
        </w:tc>
        <w:tc>
          <w:tcPr>
            <w:tcW w:w="780" w:type="dxa"/>
          </w:tcPr>
          <w:p>
            <w:pPr>
              <w:jc w:val="center"/>
              <w:rPr>
                <w:rFonts w:ascii="宋体" w:hAnsi="宋体" w:eastAsia="宋体" w:cs="宋体"/>
                <w:szCs w:val="21"/>
              </w:rPr>
            </w:pPr>
          </w:p>
        </w:tc>
      </w:tr>
    </w:tbl>
    <w:p>
      <w:pPr>
        <w:pStyle w:val="4"/>
        <w:spacing w:line="20" w:lineRule="exact"/>
        <w:rPr>
          <w:rFonts w:ascii="宋体" w:hAnsi="宋体" w:eastAsia="宋体" w:cs="宋体"/>
          <w:sz w:val="21"/>
          <w:szCs w:val="21"/>
        </w:rPr>
      </w:pPr>
    </w:p>
    <w:p>
      <w:pPr>
        <w:pStyle w:val="4"/>
        <w:spacing w:line="20" w:lineRule="exact"/>
        <w:rPr>
          <w:rFonts w:ascii="宋体" w:hAnsi="宋体" w:eastAsia="宋体" w:cs="宋体"/>
          <w:sz w:val="21"/>
          <w:szCs w:val="21"/>
        </w:rPr>
      </w:pPr>
    </w:p>
    <w:sectPr>
      <w:footerReference r:id="rId4" w:type="default"/>
      <w:pgSz w:w="16838" w:h="11906" w:orient="landscape"/>
      <w:pgMar w:top="1587" w:right="1871" w:bottom="1474" w:left="175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aD3B88BAACq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YY2gTMnLD345fu3y49fl59f2bJc&#10;vU4K9QErKnwIVBqHOz+k6imOFEzEhxZs+hIlRnnS93zVVw2RyXRpvVqvS0pJys0O4RSP1wNgfKu8&#10;ZcmoOdADZl3F6T3GsXQuSd2cv9fGUFxUxv0VIMwxovIWTLcTk3HiZMVhP0w09r45E7ueNqHmjhaf&#10;M/POkdBpaWYDZmM/G8cA+tDRoMs8JYbbY6SR8qSpwwhLDJNDT5i5TuuWduRPP1c9/mL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ZoPcHzwEAAKoDAAAOAAAAAAAAAAEAIAAAAB4BAABkcnMv&#10;ZTJvRG9jLnhtbFBLBQYAAAAABgAGAFkBAABfBQAAAAA=&#10;">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fldChar w:fldCharType="begin"/>
                          </w:r>
                          <w:r>
                            <w:instrText xml:space="preserve"> PAGE  \* MERGEFORMAT </w:instrText>
                          </w:r>
                          <w:r>
                            <w:fldChar w:fldCharType="separate"/>
                          </w:r>
                          <w:r>
                            <w:t>- 30 -</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09mDazwEAAKoDAAAOAAAAAAAAAAEAIAAAAB4BAABkcnMv&#10;ZTJvRG9jLnhtbFBLBQYAAAAABgAGAFkBAABf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- 30 -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jM2M3YWRjOGQwODJkMTkxYWZhYzNhZGQ4NTFhYzkifQ=="/>
  </w:docVars>
  <w:rsids>
    <w:rsidRoot w:val="00AC0A3E"/>
    <w:rsid w:val="00004EEE"/>
    <w:rsid w:val="0000684F"/>
    <w:rsid w:val="00011D3B"/>
    <w:rsid w:val="00012FA3"/>
    <w:rsid w:val="00021C39"/>
    <w:rsid w:val="00034F2C"/>
    <w:rsid w:val="00042A0A"/>
    <w:rsid w:val="000456BC"/>
    <w:rsid w:val="00052983"/>
    <w:rsid w:val="00053FFF"/>
    <w:rsid w:val="00073305"/>
    <w:rsid w:val="000962BD"/>
    <w:rsid w:val="00096B4A"/>
    <w:rsid w:val="00096B71"/>
    <w:rsid w:val="000A2D0A"/>
    <w:rsid w:val="000B15B8"/>
    <w:rsid w:val="000D785B"/>
    <w:rsid w:val="000E09B0"/>
    <w:rsid w:val="000E5A48"/>
    <w:rsid w:val="00107051"/>
    <w:rsid w:val="001145BA"/>
    <w:rsid w:val="00142172"/>
    <w:rsid w:val="00151FAD"/>
    <w:rsid w:val="00157159"/>
    <w:rsid w:val="001639BB"/>
    <w:rsid w:val="00166236"/>
    <w:rsid w:val="00175AD3"/>
    <w:rsid w:val="0018427F"/>
    <w:rsid w:val="00186D65"/>
    <w:rsid w:val="00197C56"/>
    <w:rsid w:val="001A46B2"/>
    <w:rsid w:val="001A60C0"/>
    <w:rsid w:val="001C0EB2"/>
    <w:rsid w:val="001C25FA"/>
    <w:rsid w:val="001E5190"/>
    <w:rsid w:val="001F28BE"/>
    <w:rsid w:val="0020644B"/>
    <w:rsid w:val="002106EB"/>
    <w:rsid w:val="00217004"/>
    <w:rsid w:val="00220B51"/>
    <w:rsid w:val="00227D1B"/>
    <w:rsid w:val="00232940"/>
    <w:rsid w:val="0024193A"/>
    <w:rsid w:val="00246C79"/>
    <w:rsid w:val="00254121"/>
    <w:rsid w:val="002557E3"/>
    <w:rsid w:val="00261F5D"/>
    <w:rsid w:val="00263992"/>
    <w:rsid w:val="002642B3"/>
    <w:rsid w:val="00267A7F"/>
    <w:rsid w:val="00291EFC"/>
    <w:rsid w:val="002A4E9A"/>
    <w:rsid w:val="002A6C36"/>
    <w:rsid w:val="002B402E"/>
    <w:rsid w:val="002B4E45"/>
    <w:rsid w:val="002C44B6"/>
    <w:rsid w:val="002D79B7"/>
    <w:rsid w:val="002F390B"/>
    <w:rsid w:val="002F62F4"/>
    <w:rsid w:val="002F7142"/>
    <w:rsid w:val="00305050"/>
    <w:rsid w:val="00320FB0"/>
    <w:rsid w:val="003231AE"/>
    <w:rsid w:val="003243A5"/>
    <w:rsid w:val="0034582B"/>
    <w:rsid w:val="00345BD4"/>
    <w:rsid w:val="003629A7"/>
    <w:rsid w:val="0038742C"/>
    <w:rsid w:val="0039041B"/>
    <w:rsid w:val="003A360B"/>
    <w:rsid w:val="003D739A"/>
    <w:rsid w:val="003F54CA"/>
    <w:rsid w:val="00403AE1"/>
    <w:rsid w:val="00405C01"/>
    <w:rsid w:val="00420B64"/>
    <w:rsid w:val="004326BA"/>
    <w:rsid w:val="00435616"/>
    <w:rsid w:val="004459C7"/>
    <w:rsid w:val="00455651"/>
    <w:rsid w:val="004653C8"/>
    <w:rsid w:val="00482919"/>
    <w:rsid w:val="004939D8"/>
    <w:rsid w:val="004B019D"/>
    <w:rsid w:val="004B4B4A"/>
    <w:rsid w:val="004E1C44"/>
    <w:rsid w:val="004E7D47"/>
    <w:rsid w:val="004F0B8C"/>
    <w:rsid w:val="004F15FB"/>
    <w:rsid w:val="00500E04"/>
    <w:rsid w:val="00515A2B"/>
    <w:rsid w:val="00521088"/>
    <w:rsid w:val="00522CB5"/>
    <w:rsid w:val="0053018A"/>
    <w:rsid w:val="00532DCD"/>
    <w:rsid w:val="00574556"/>
    <w:rsid w:val="00597F67"/>
    <w:rsid w:val="005A5ED8"/>
    <w:rsid w:val="005B04DB"/>
    <w:rsid w:val="005B362E"/>
    <w:rsid w:val="005C4647"/>
    <w:rsid w:val="005D52E7"/>
    <w:rsid w:val="005F4A44"/>
    <w:rsid w:val="00601587"/>
    <w:rsid w:val="00614993"/>
    <w:rsid w:val="00617B74"/>
    <w:rsid w:val="00621BF9"/>
    <w:rsid w:val="006345F5"/>
    <w:rsid w:val="0065108E"/>
    <w:rsid w:val="00655452"/>
    <w:rsid w:val="00664064"/>
    <w:rsid w:val="006822EF"/>
    <w:rsid w:val="006A1E32"/>
    <w:rsid w:val="006A5F69"/>
    <w:rsid w:val="006B488C"/>
    <w:rsid w:val="006B7F5E"/>
    <w:rsid w:val="006D27A8"/>
    <w:rsid w:val="006D3CF9"/>
    <w:rsid w:val="006E05BE"/>
    <w:rsid w:val="006E2261"/>
    <w:rsid w:val="006E3612"/>
    <w:rsid w:val="006F1972"/>
    <w:rsid w:val="006F2ECD"/>
    <w:rsid w:val="00710A3D"/>
    <w:rsid w:val="00710E9C"/>
    <w:rsid w:val="007112B5"/>
    <w:rsid w:val="007115A5"/>
    <w:rsid w:val="00715D5F"/>
    <w:rsid w:val="00723834"/>
    <w:rsid w:val="00724079"/>
    <w:rsid w:val="007256B2"/>
    <w:rsid w:val="00732960"/>
    <w:rsid w:val="00737301"/>
    <w:rsid w:val="00744218"/>
    <w:rsid w:val="00750790"/>
    <w:rsid w:val="0075313D"/>
    <w:rsid w:val="00772FE1"/>
    <w:rsid w:val="00774F1C"/>
    <w:rsid w:val="00775121"/>
    <w:rsid w:val="0078143C"/>
    <w:rsid w:val="00796569"/>
    <w:rsid w:val="007B2DCF"/>
    <w:rsid w:val="007B5268"/>
    <w:rsid w:val="007C0EFC"/>
    <w:rsid w:val="007C75B8"/>
    <w:rsid w:val="007D0008"/>
    <w:rsid w:val="007D0AC6"/>
    <w:rsid w:val="007D1CB6"/>
    <w:rsid w:val="007F6712"/>
    <w:rsid w:val="007F701C"/>
    <w:rsid w:val="00810815"/>
    <w:rsid w:val="00815AB4"/>
    <w:rsid w:val="0082371F"/>
    <w:rsid w:val="0084042F"/>
    <w:rsid w:val="0084271A"/>
    <w:rsid w:val="00846BBA"/>
    <w:rsid w:val="00872113"/>
    <w:rsid w:val="008806BB"/>
    <w:rsid w:val="0088558B"/>
    <w:rsid w:val="0089228E"/>
    <w:rsid w:val="008A6227"/>
    <w:rsid w:val="008B14AB"/>
    <w:rsid w:val="008C1A4A"/>
    <w:rsid w:val="008D0596"/>
    <w:rsid w:val="008D3E51"/>
    <w:rsid w:val="008D46AB"/>
    <w:rsid w:val="008D4A62"/>
    <w:rsid w:val="008F18D8"/>
    <w:rsid w:val="00913FBD"/>
    <w:rsid w:val="0091525D"/>
    <w:rsid w:val="00924523"/>
    <w:rsid w:val="00927B0A"/>
    <w:rsid w:val="009341A9"/>
    <w:rsid w:val="00936283"/>
    <w:rsid w:val="00942E16"/>
    <w:rsid w:val="009535A5"/>
    <w:rsid w:val="009555C0"/>
    <w:rsid w:val="009605B1"/>
    <w:rsid w:val="00980238"/>
    <w:rsid w:val="00986EDE"/>
    <w:rsid w:val="00992F4F"/>
    <w:rsid w:val="00993691"/>
    <w:rsid w:val="009A3C83"/>
    <w:rsid w:val="009B4996"/>
    <w:rsid w:val="009C004B"/>
    <w:rsid w:val="009C7C5F"/>
    <w:rsid w:val="009C7DFA"/>
    <w:rsid w:val="009D6B1C"/>
    <w:rsid w:val="009F5851"/>
    <w:rsid w:val="00A05E0D"/>
    <w:rsid w:val="00A05E82"/>
    <w:rsid w:val="00A210DF"/>
    <w:rsid w:val="00A35759"/>
    <w:rsid w:val="00A44A84"/>
    <w:rsid w:val="00A5710E"/>
    <w:rsid w:val="00A701E6"/>
    <w:rsid w:val="00A75B14"/>
    <w:rsid w:val="00A8137B"/>
    <w:rsid w:val="00A8295C"/>
    <w:rsid w:val="00AA108E"/>
    <w:rsid w:val="00AB4743"/>
    <w:rsid w:val="00AB719C"/>
    <w:rsid w:val="00AC0A3E"/>
    <w:rsid w:val="00AC2693"/>
    <w:rsid w:val="00AC3C8C"/>
    <w:rsid w:val="00AD0BB8"/>
    <w:rsid w:val="00AD5169"/>
    <w:rsid w:val="00AE0AD8"/>
    <w:rsid w:val="00AE2BFD"/>
    <w:rsid w:val="00B01C3C"/>
    <w:rsid w:val="00B0303B"/>
    <w:rsid w:val="00B07406"/>
    <w:rsid w:val="00B0792A"/>
    <w:rsid w:val="00B2035C"/>
    <w:rsid w:val="00B34288"/>
    <w:rsid w:val="00B63387"/>
    <w:rsid w:val="00B63F0C"/>
    <w:rsid w:val="00B8341A"/>
    <w:rsid w:val="00B918CC"/>
    <w:rsid w:val="00BA4404"/>
    <w:rsid w:val="00BA5E50"/>
    <w:rsid w:val="00BA7120"/>
    <w:rsid w:val="00BA7215"/>
    <w:rsid w:val="00BB32FB"/>
    <w:rsid w:val="00BC5C04"/>
    <w:rsid w:val="00BD2533"/>
    <w:rsid w:val="00BE6B5C"/>
    <w:rsid w:val="00BE77F7"/>
    <w:rsid w:val="00C058A4"/>
    <w:rsid w:val="00C100B7"/>
    <w:rsid w:val="00C25769"/>
    <w:rsid w:val="00C31DB9"/>
    <w:rsid w:val="00C3516B"/>
    <w:rsid w:val="00C55D2C"/>
    <w:rsid w:val="00C5649C"/>
    <w:rsid w:val="00C603FA"/>
    <w:rsid w:val="00C63399"/>
    <w:rsid w:val="00C65687"/>
    <w:rsid w:val="00C872FC"/>
    <w:rsid w:val="00C876B5"/>
    <w:rsid w:val="00C9433D"/>
    <w:rsid w:val="00C9524E"/>
    <w:rsid w:val="00CB0A2B"/>
    <w:rsid w:val="00CC2D9A"/>
    <w:rsid w:val="00CC5005"/>
    <w:rsid w:val="00CC5A7D"/>
    <w:rsid w:val="00CC6C71"/>
    <w:rsid w:val="00CC7265"/>
    <w:rsid w:val="00CD102C"/>
    <w:rsid w:val="00CE12C1"/>
    <w:rsid w:val="00CF34D4"/>
    <w:rsid w:val="00CF54C8"/>
    <w:rsid w:val="00D17F6D"/>
    <w:rsid w:val="00D263A2"/>
    <w:rsid w:val="00D550C2"/>
    <w:rsid w:val="00D55A86"/>
    <w:rsid w:val="00D621F0"/>
    <w:rsid w:val="00D704F4"/>
    <w:rsid w:val="00D71C2C"/>
    <w:rsid w:val="00D810D9"/>
    <w:rsid w:val="00D84F41"/>
    <w:rsid w:val="00D94DEA"/>
    <w:rsid w:val="00DA291D"/>
    <w:rsid w:val="00DB0A43"/>
    <w:rsid w:val="00DC113F"/>
    <w:rsid w:val="00DC37B7"/>
    <w:rsid w:val="00DE1EDF"/>
    <w:rsid w:val="00DE3425"/>
    <w:rsid w:val="00DE5391"/>
    <w:rsid w:val="00E0320C"/>
    <w:rsid w:val="00E05D14"/>
    <w:rsid w:val="00E06E20"/>
    <w:rsid w:val="00E13FBE"/>
    <w:rsid w:val="00E25AEF"/>
    <w:rsid w:val="00E46725"/>
    <w:rsid w:val="00E717C5"/>
    <w:rsid w:val="00EB3FF0"/>
    <w:rsid w:val="00EC28D4"/>
    <w:rsid w:val="00EC318F"/>
    <w:rsid w:val="00EC3380"/>
    <w:rsid w:val="00EE4035"/>
    <w:rsid w:val="00EF1CEE"/>
    <w:rsid w:val="00F04314"/>
    <w:rsid w:val="00F163C4"/>
    <w:rsid w:val="00F17874"/>
    <w:rsid w:val="00F222D8"/>
    <w:rsid w:val="00F25114"/>
    <w:rsid w:val="00F3080E"/>
    <w:rsid w:val="00F45BBF"/>
    <w:rsid w:val="00FA27DA"/>
    <w:rsid w:val="00FB12D6"/>
    <w:rsid w:val="00FC6FE9"/>
    <w:rsid w:val="00FE29D6"/>
    <w:rsid w:val="00FE377F"/>
    <w:rsid w:val="01207B0A"/>
    <w:rsid w:val="01225D05"/>
    <w:rsid w:val="01413B16"/>
    <w:rsid w:val="01637FE3"/>
    <w:rsid w:val="016806BD"/>
    <w:rsid w:val="017C4C15"/>
    <w:rsid w:val="01AC5842"/>
    <w:rsid w:val="01B14C06"/>
    <w:rsid w:val="01BB649A"/>
    <w:rsid w:val="01BB66BA"/>
    <w:rsid w:val="01C7201B"/>
    <w:rsid w:val="01DA23AF"/>
    <w:rsid w:val="01DD27D4"/>
    <w:rsid w:val="02056FCD"/>
    <w:rsid w:val="022E6EEA"/>
    <w:rsid w:val="0233386D"/>
    <w:rsid w:val="0273003B"/>
    <w:rsid w:val="02A81D23"/>
    <w:rsid w:val="02B80216"/>
    <w:rsid w:val="02CA2BAC"/>
    <w:rsid w:val="02CD1300"/>
    <w:rsid w:val="02F43518"/>
    <w:rsid w:val="03036BB3"/>
    <w:rsid w:val="03123B45"/>
    <w:rsid w:val="031E451D"/>
    <w:rsid w:val="032470EF"/>
    <w:rsid w:val="032A3470"/>
    <w:rsid w:val="03761410"/>
    <w:rsid w:val="03791753"/>
    <w:rsid w:val="03861BCD"/>
    <w:rsid w:val="03BD5AE4"/>
    <w:rsid w:val="03DB41BC"/>
    <w:rsid w:val="0401772F"/>
    <w:rsid w:val="04155920"/>
    <w:rsid w:val="045A3333"/>
    <w:rsid w:val="04681B89"/>
    <w:rsid w:val="046F6D8F"/>
    <w:rsid w:val="04AB0032"/>
    <w:rsid w:val="04D1736D"/>
    <w:rsid w:val="04D952CF"/>
    <w:rsid w:val="04F37680"/>
    <w:rsid w:val="04F419D9"/>
    <w:rsid w:val="05046CD2"/>
    <w:rsid w:val="051A6F66"/>
    <w:rsid w:val="059061FA"/>
    <w:rsid w:val="059A3C03"/>
    <w:rsid w:val="05C84C14"/>
    <w:rsid w:val="05FF3D66"/>
    <w:rsid w:val="060A6FDB"/>
    <w:rsid w:val="061F5EC0"/>
    <w:rsid w:val="06204CE0"/>
    <w:rsid w:val="06347962"/>
    <w:rsid w:val="067C420B"/>
    <w:rsid w:val="067F3525"/>
    <w:rsid w:val="06856661"/>
    <w:rsid w:val="06A50AB1"/>
    <w:rsid w:val="06BB2083"/>
    <w:rsid w:val="06D33870"/>
    <w:rsid w:val="06F149FB"/>
    <w:rsid w:val="07181283"/>
    <w:rsid w:val="074A1D85"/>
    <w:rsid w:val="075D7DC0"/>
    <w:rsid w:val="0765765A"/>
    <w:rsid w:val="0766313B"/>
    <w:rsid w:val="076B5857"/>
    <w:rsid w:val="07774C57"/>
    <w:rsid w:val="07A904D1"/>
    <w:rsid w:val="07BE67E7"/>
    <w:rsid w:val="07CC2696"/>
    <w:rsid w:val="080D2DB2"/>
    <w:rsid w:val="081449CC"/>
    <w:rsid w:val="081B211B"/>
    <w:rsid w:val="086E7D37"/>
    <w:rsid w:val="08753DC7"/>
    <w:rsid w:val="08A37796"/>
    <w:rsid w:val="08C41F23"/>
    <w:rsid w:val="08E7243F"/>
    <w:rsid w:val="09012917"/>
    <w:rsid w:val="09137F54"/>
    <w:rsid w:val="09173EE8"/>
    <w:rsid w:val="09183501"/>
    <w:rsid w:val="09306D58"/>
    <w:rsid w:val="09336848"/>
    <w:rsid w:val="0946657C"/>
    <w:rsid w:val="095D45C8"/>
    <w:rsid w:val="096A04BC"/>
    <w:rsid w:val="097D5DBB"/>
    <w:rsid w:val="09976DD7"/>
    <w:rsid w:val="099C263F"/>
    <w:rsid w:val="09A3577C"/>
    <w:rsid w:val="09A432A2"/>
    <w:rsid w:val="09E162A4"/>
    <w:rsid w:val="09F9539C"/>
    <w:rsid w:val="0A1346B4"/>
    <w:rsid w:val="0A254D41"/>
    <w:rsid w:val="0A2741DD"/>
    <w:rsid w:val="0AB70082"/>
    <w:rsid w:val="0AB734AE"/>
    <w:rsid w:val="0ACA6D38"/>
    <w:rsid w:val="0AF16BAB"/>
    <w:rsid w:val="0B116715"/>
    <w:rsid w:val="0B372620"/>
    <w:rsid w:val="0B401BBC"/>
    <w:rsid w:val="0B504A9A"/>
    <w:rsid w:val="0B5D1CFF"/>
    <w:rsid w:val="0B5F1B77"/>
    <w:rsid w:val="0B5F2492"/>
    <w:rsid w:val="0B622991"/>
    <w:rsid w:val="0B8C7DF0"/>
    <w:rsid w:val="0BBB2CBC"/>
    <w:rsid w:val="0BC27456"/>
    <w:rsid w:val="0BC83278"/>
    <w:rsid w:val="0BDC4F75"/>
    <w:rsid w:val="0BE75CAE"/>
    <w:rsid w:val="0C161A76"/>
    <w:rsid w:val="0C2F1549"/>
    <w:rsid w:val="0C550311"/>
    <w:rsid w:val="0C7E3553"/>
    <w:rsid w:val="0C847AB2"/>
    <w:rsid w:val="0C8F02E5"/>
    <w:rsid w:val="0CAA6E21"/>
    <w:rsid w:val="0CC71781"/>
    <w:rsid w:val="0CCC5B09"/>
    <w:rsid w:val="0CDB6FDB"/>
    <w:rsid w:val="0CDC5C3A"/>
    <w:rsid w:val="0CFB0A3C"/>
    <w:rsid w:val="0D5772AC"/>
    <w:rsid w:val="0D8B27AF"/>
    <w:rsid w:val="0D8C4A08"/>
    <w:rsid w:val="0D951880"/>
    <w:rsid w:val="0D9804D5"/>
    <w:rsid w:val="0DA742E6"/>
    <w:rsid w:val="0DCD49A0"/>
    <w:rsid w:val="0DD03410"/>
    <w:rsid w:val="0DE46363"/>
    <w:rsid w:val="0DEE565B"/>
    <w:rsid w:val="0E0B63D0"/>
    <w:rsid w:val="0E59465B"/>
    <w:rsid w:val="0E8D1C79"/>
    <w:rsid w:val="0E912563"/>
    <w:rsid w:val="0EA868D9"/>
    <w:rsid w:val="0EAB23DA"/>
    <w:rsid w:val="0EAD49A7"/>
    <w:rsid w:val="0EE71951"/>
    <w:rsid w:val="0EF8050C"/>
    <w:rsid w:val="0EFD592E"/>
    <w:rsid w:val="0F0826F6"/>
    <w:rsid w:val="0F174D1D"/>
    <w:rsid w:val="0F2E7896"/>
    <w:rsid w:val="0F5879DC"/>
    <w:rsid w:val="0F5D017B"/>
    <w:rsid w:val="0FA027B9"/>
    <w:rsid w:val="0FC31615"/>
    <w:rsid w:val="0FD825B7"/>
    <w:rsid w:val="102D5D9F"/>
    <w:rsid w:val="1068327B"/>
    <w:rsid w:val="107734BE"/>
    <w:rsid w:val="107E65FB"/>
    <w:rsid w:val="10864733"/>
    <w:rsid w:val="108E4341"/>
    <w:rsid w:val="108F10B9"/>
    <w:rsid w:val="10993435"/>
    <w:rsid w:val="10A122E9"/>
    <w:rsid w:val="111E393A"/>
    <w:rsid w:val="112C2AE8"/>
    <w:rsid w:val="11850FF5"/>
    <w:rsid w:val="11902A8A"/>
    <w:rsid w:val="11A16562"/>
    <w:rsid w:val="11D53180"/>
    <w:rsid w:val="120945EA"/>
    <w:rsid w:val="121D1E44"/>
    <w:rsid w:val="12563740"/>
    <w:rsid w:val="130A686C"/>
    <w:rsid w:val="1323348A"/>
    <w:rsid w:val="1337594B"/>
    <w:rsid w:val="134753CA"/>
    <w:rsid w:val="136A1C78"/>
    <w:rsid w:val="13767A5D"/>
    <w:rsid w:val="13873A19"/>
    <w:rsid w:val="13A75F38"/>
    <w:rsid w:val="13AA41B3"/>
    <w:rsid w:val="13DF1AA7"/>
    <w:rsid w:val="14072DAB"/>
    <w:rsid w:val="14171240"/>
    <w:rsid w:val="142D2812"/>
    <w:rsid w:val="143D576D"/>
    <w:rsid w:val="14862482"/>
    <w:rsid w:val="148A26A1"/>
    <w:rsid w:val="14B24AC5"/>
    <w:rsid w:val="14F95504"/>
    <w:rsid w:val="150215E4"/>
    <w:rsid w:val="15092BF5"/>
    <w:rsid w:val="150A1885"/>
    <w:rsid w:val="153570D3"/>
    <w:rsid w:val="158346B4"/>
    <w:rsid w:val="15861998"/>
    <w:rsid w:val="15AB60E4"/>
    <w:rsid w:val="15D755D0"/>
    <w:rsid w:val="15E37179"/>
    <w:rsid w:val="15E74B03"/>
    <w:rsid w:val="15E74C42"/>
    <w:rsid w:val="16473CB3"/>
    <w:rsid w:val="166E0EC0"/>
    <w:rsid w:val="16827F25"/>
    <w:rsid w:val="168C694F"/>
    <w:rsid w:val="16B74615"/>
    <w:rsid w:val="16D90A2F"/>
    <w:rsid w:val="16DF591A"/>
    <w:rsid w:val="16E178E4"/>
    <w:rsid w:val="16ED0036"/>
    <w:rsid w:val="16F70437"/>
    <w:rsid w:val="173408D6"/>
    <w:rsid w:val="17372CF8"/>
    <w:rsid w:val="17384394"/>
    <w:rsid w:val="174762EF"/>
    <w:rsid w:val="17544559"/>
    <w:rsid w:val="176059B4"/>
    <w:rsid w:val="17915C9D"/>
    <w:rsid w:val="17AF44F8"/>
    <w:rsid w:val="17B16A7B"/>
    <w:rsid w:val="17BF0BE7"/>
    <w:rsid w:val="17E50F66"/>
    <w:rsid w:val="18155A97"/>
    <w:rsid w:val="181D65FE"/>
    <w:rsid w:val="183103F7"/>
    <w:rsid w:val="18336D39"/>
    <w:rsid w:val="18491BE4"/>
    <w:rsid w:val="186E164B"/>
    <w:rsid w:val="187A188B"/>
    <w:rsid w:val="18B96B95"/>
    <w:rsid w:val="18C10A06"/>
    <w:rsid w:val="18DA13E9"/>
    <w:rsid w:val="18E56F4A"/>
    <w:rsid w:val="18F002B2"/>
    <w:rsid w:val="19173A91"/>
    <w:rsid w:val="19193365"/>
    <w:rsid w:val="1941466A"/>
    <w:rsid w:val="19441D7F"/>
    <w:rsid w:val="19531CBB"/>
    <w:rsid w:val="195D167A"/>
    <w:rsid w:val="196C3700"/>
    <w:rsid w:val="197175ED"/>
    <w:rsid w:val="198A78DD"/>
    <w:rsid w:val="198F3CAD"/>
    <w:rsid w:val="1992462A"/>
    <w:rsid w:val="199C5D44"/>
    <w:rsid w:val="19C218F3"/>
    <w:rsid w:val="19EE2674"/>
    <w:rsid w:val="1A073B05"/>
    <w:rsid w:val="1A165AF6"/>
    <w:rsid w:val="1A261BE3"/>
    <w:rsid w:val="1A8707A2"/>
    <w:rsid w:val="1A89451A"/>
    <w:rsid w:val="1A9876F9"/>
    <w:rsid w:val="1ADE4866"/>
    <w:rsid w:val="1AFD5801"/>
    <w:rsid w:val="1B0B3181"/>
    <w:rsid w:val="1B7C5E2D"/>
    <w:rsid w:val="1BC60184"/>
    <w:rsid w:val="1BEA0FE8"/>
    <w:rsid w:val="1BF13A34"/>
    <w:rsid w:val="1C2F10F1"/>
    <w:rsid w:val="1C3D380E"/>
    <w:rsid w:val="1C427076"/>
    <w:rsid w:val="1CA613B3"/>
    <w:rsid w:val="1CAA71A3"/>
    <w:rsid w:val="1CBD66FD"/>
    <w:rsid w:val="1CCE4466"/>
    <w:rsid w:val="1CD75A11"/>
    <w:rsid w:val="1CDB0DBB"/>
    <w:rsid w:val="1CFD5601"/>
    <w:rsid w:val="1D1D0F4A"/>
    <w:rsid w:val="1D3D1AB2"/>
    <w:rsid w:val="1D5C1A72"/>
    <w:rsid w:val="1D5D0A42"/>
    <w:rsid w:val="1D7A639C"/>
    <w:rsid w:val="1D90619E"/>
    <w:rsid w:val="1DA022A7"/>
    <w:rsid w:val="1DB34E29"/>
    <w:rsid w:val="1DBC4C07"/>
    <w:rsid w:val="1DC9373C"/>
    <w:rsid w:val="1E000141"/>
    <w:rsid w:val="1E110AAE"/>
    <w:rsid w:val="1E7171EB"/>
    <w:rsid w:val="1EB5698A"/>
    <w:rsid w:val="1EBF050A"/>
    <w:rsid w:val="1ED7641F"/>
    <w:rsid w:val="1EEC5078"/>
    <w:rsid w:val="1F0E6B72"/>
    <w:rsid w:val="1F382598"/>
    <w:rsid w:val="1F3F33F9"/>
    <w:rsid w:val="1F4305BB"/>
    <w:rsid w:val="1F83033B"/>
    <w:rsid w:val="1F9E1131"/>
    <w:rsid w:val="1FD46237"/>
    <w:rsid w:val="1FD51D45"/>
    <w:rsid w:val="1FD55B0C"/>
    <w:rsid w:val="1FEA5A5B"/>
    <w:rsid w:val="202B1383"/>
    <w:rsid w:val="20855A40"/>
    <w:rsid w:val="208E4666"/>
    <w:rsid w:val="20AD05D0"/>
    <w:rsid w:val="21091F11"/>
    <w:rsid w:val="211225E9"/>
    <w:rsid w:val="211A5973"/>
    <w:rsid w:val="21337D66"/>
    <w:rsid w:val="21337E01"/>
    <w:rsid w:val="215617E2"/>
    <w:rsid w:val="21581F02"/>
    <w:rsid w:val="218926BE"/>
    <w:rsid w:val="219750A0"/>
    <w:rsid w:val="21A8172A"/>
    <w:rsid w:val="21AE2AB8"/>
    <w:rsid w:val="21E12E8E"/>
    <w:rsid w:val="22263621"/>
    <w:rsid w:val="22477436"/>
    <w:rsid w:val="22655001"/>
    <w:rsid w:val="229D6DB5"/>
    <w:rsid w:val="22A53EBB"/>
    <w:rsid w:val="22B97967"/>
    <w:rsid w:val="22BA63DA"/>
    <w:rsid w:val="22F85BE8"/>
    <w:rsid w:val="23021720"/>
    <w:rsid w:val="231F3C6E"/>
    <w:rsid w:val="2322375E"/>
    <w:rsid w:val="23277616"/>
    <w:rsid w:val="235D4796"/>
    <w:rsid w:val="2372055D"/>
    <w:rsid w:val="23A811B5"/>
    <w:rsid w:val="23A93537"/>
    <w:rsid w:val="23B949BF"/>
    <w:rsid w:val="23E02D14"/>
    <w:rsid w:val="23F14FD3"/>
    <w:rsid w:val="23FF3674"/>
    <w:rsid w:val="24045981"/>
    <w:rsid w:val="24164F84"/>
    <w:rsid w:val="24443260"/>
    <w:rsid w:val="245423FA"/>
    <w:rsid w:val="247553D1"/>
    <w:rsid w:val="24A00DDE"/>
    <w:rsid w:val="24E8008F"/>
    <w:rsid w:val="252F44E2"/>
    <w:rsid w:val="25675458"/>
    <w:rsid w:val="256A098B"/>
    <w:rsid w:val="25755DC7"/>
    <w:rsid w:val="258B55EA"/>
    <w:rsid w:val="25B05051"/>
    <w:rsid w:val="25B221AE"/>
    <w:rsid w:val="25C176EF"/>
    <w:rsid w:val="25C26F77"/>
    <w:rsid w:val="25D725DE"/>
    <w:rsid w:val="25FF1B34"/>
    <w:rsid w:val="26655E3B"/>
    <w:rsid w:val="266B610C"/>
    <w:rsid w:val="26760048"/>
    <w:rsid w:val="26AF355A"/>
    <w:rsid w:val="26F200D5"/>
    <w:rsid w:val="26FB054E"/>
    <w:rsid w:val="270D5C4A"/>
    <w:rsid w:val="273837FA"/>
    <w:rsid w:val="27481225"/>
    <w:rsid w:val="275639D6"/>
    <w:rsid w:val="276022E1"/>
    <w:rsid w:val="27637EA1"/>
    <w:rsid w:val="2781394F"/>
    <w:rsid w:val="278A48B5"/>
    <w:rsid w:val="27A63F30"/>
    <w:rsid w:val="27B16E5E"/>
    <w:rsid w:val="27B560AC"/>
    <w:rsid w:val="27BB551F"/>
    <w:rsid w:val="27C70430"/>
    <w:rsid w:val="27EE00B2"/>
    <w:rsid w:val="27FB22D7"/>
    <w:rsid w:val="280C1901"/>
    <w:rsid w:val="281C69CE"/>
    <w:rsid w:val="285A74F6"/>
    <w:rsid w:val="28624380"/>
    <w:rsid w:val="28957DEB"/>
    <w:rsid w:val="289F703B"/>
    <w:rsid w:val="28AD3ACA"/>
    <w:rsid w:val="28B430AA"/>
    <w:rsid w:val="28B56DF2"/>
    <w:rsid w:val="28C01A4F"/>
    <w:rsid w:val="28C66D98"/>
    <w:rsid w:val="28DD0340"/>
    <w:rsid w:val="28E868B0"/>
    <w:rsid w:val="29127DD1"/>
    <w:rsid w:val="29192E6F"/>
    <w:rsid w:val="29320DA3"/>
    <w:rsid w:val="29412775"/>
    <w:rsid w:val="298365D8"/>
    <w:rsid w:val="29E76B67"/>
    <w:rsid w:val="2A2B114A"/>
    <w:rsid w:val="2A3F0751"/>
    <w:rsid w:val="2A457487"/>
    <w:rsid w:val="2A581813"/>
    <w:rsid w:val="2A616E69"/>
    <w:rsid w:val="2A6B59EA"/>
    <w:rsid w:val="2A7D27C2"/>
    <w:rsid w:val="2A7F4FF2"/>
    <w:rsid w:val="2ACA0963"/>
    <w:rsid w:val="2B0D5AB3"/>
    <w:rsid w:val="2B146082"/>
    <w:rsid w:val="2B1E118A"/>
    <w:rsid w:val="2B53744F"/>
    <w:rsid w:val="2B5E554F"/>
    <w:rsid w:val="2B9176D3"/>
    <w:rsid w:val="2B993456"/>
    <w:rsid w:val="2BD51671"/>
    <w:rsid w:val="2BF043F9"/>
    <w:rsid w:val="2C0C6228"/>
    <w:rsid w:val="2C2F5BF6"/>
    <w:rsid w:val="2C397D26"/>
    <w:rsid w:val="2C491D5B"/>
    <w:rsid w:val="2C5214E3"/>
    <w:rsid w:val="2C5E661E"/>
    <w:rsid w:val="2C5F1CD1"/>
    <w:rsid w:val="2C820DC9"/>
    <w:rsid w:val="2CA86A82"/>
    <w:rsid w:val="2CD04AF7"/>
    <w:rsid w:val="2CD06A2B"/>
    <w:rsid w:val="2CD2151B"/>
    <w:rsid w:val="2CD262FE"/>
    <w:rsid w:val="2CD90F69"/>
    <w:rsid w:val="2CED22F7"/>
    <w:rsid w:val="2CF577ED"/>
    <w:rsid w:val="2D0B6355"/>
    <w:rsid w:val="2D197980"/>
    <w:rsid w:val="2D1D5241"/>
    <w:rsid w:val="2D3B78F6"/>
    <w:rsid w:val="2DA42CCD"/>
    <w:rsid w:val="2DB31B82"/>
    <w:rsid w:val="2DBC5621"/>
    <w:rsid w:val="2DDE3735"/>
    <w:rsid w:val="2DE97352"/>
    <w:rsid w:val="2E0F10E7"/>
    <w:rsid w:val="2E1D524D"/>
    <w:rsid w:val="2E2C36E3"/>
    <w:rsid w:val="2E4722CA"/>
    <w:rsid w:val="2E4E3659"/>
    <w:rsid w:val="2E7D319A"/>
    <w:rsid w:val="2E9372BE"/>
    <w:rsid w:val="2E9F5C62"/>
    <w:rsid w:val="2ED31DB0"/>
    <w:rsid w:val="2ED901CA"/>
    <w:rsid w:val="2EE538D4"/>
    <w:rsid w:val="2EE72A97"/>
    <w:rsid w:val="2F133B66"/>
    <w:rsid w:val="2F25260C"/>
    <w:rsid w:val="2F260470"/>
    <w:rsid w:val="2F2B1E06"/>
    <w:rsid w:val="2F360741"/>
    <w:rsid w:val="2F595531"/>
    <w:rsid w:val="2F661D69"/>
    <w:rsid w:val="2F775BBF"/>
    <w:rsid w:val="2F8E3583"/>
    <w:rsid w:val="2FC359EA"/>
    <w:rsid w:val="2FEA5603"/>
    <w:rsid w:val="2FF26266"/>
    <w:rsid w:val="2FF81AC4"/>
    <w:rsid w:val="300C557A"/>
    <w:rsid w:val="303B36B3"/>
    <w:rsid w:val="30470360"/>
    <w:rsid w:val="308009E5"/>
    <w:rsid w:val="30823A8E"/>
    <w:rsid w:val="30FC066C"/>
    <w:rsid w:val="31235140"/>
    <w:rsid w:val="313421A7"/>
    <w:rsid w:val="313A7EC4"/>
    <w:rsid w:val="315C2906"/>
    <w:rsid w:val="3192385D"/>
    <w:rsid w:val="31B639EF"/>
    <w:rsid w:val="31B9703B"/>
    <w:rsid w:val="31C205E6"/>
    <w:rsid w:val="31ED4F37"/>
    <w:rsid w:val="31FA2AD6"/>
    <w:rsid w:val="31FB2065"/>
    <w:rsid w:val="31FC6110"/>
    <w:rsid w:val="32485C07"/>
    <w:rsid w:val="32676A97"/>
    <w:rsid w:val="327F7178"/>
    <w:rsid w:val="32816B91"/>
    <w:rsid w:val="32AC3044"/>
    <w:rsid w:val="32BE51C6"/>
    <w:rsid w:val="32C81234"/>
    <w:rsid w:val="32DF0D23"/>
    <w:rsid w:val="330462BA"/>
    <w:rsid w:val="331A61FF"/>
    <w:rsid w:val="331F7372"/>
    <w:rsid w:val="33242BDA"/>
    <w:rsid w:val="333746BC"/>
    <w:rsid w:val="335B1422"/>
    <w:rsid w:val="33A51F6D"/>
    <w:rsid w:val="33BA709B"/>
    <w:rsid w:val="33DC34B5"/>
    <w:rsid w:val="34264730"/>
    <w:rsid w:val="34443792"/>
    <w:rsid w:val="344608D9"/>
    <w:rsid w:val="344F1ED9"/>
    <w:rsid w:val="346A6D13"/>
    <w:rsid w:val="347B6570"/>
    <w:rsid w:val="349657CB"/>
    <w:rsid w:val="34A246FE"/>
    <w:rsid w:val="34BD5094"/>
    <w:rsid w:val="34ED4076"/>
    <w:rsid w:val="34FD7B87"/>
    <w:rsid w:val="35123632"/>
    <w:rsid w:val="3513289C"/>
    <w:rsid w:val="351D5B33"/>
    <w:rsid w:val="351E6A94"/>
    <w:rsid w:val="35461EDF"/>
    <w:rsid w:val="35466E38"/>
    <w:rsid w:val="35505F08"/>
    <w:rsid w:val="3575660A"/>
    <w:rsid w:val="35AD6EB7"/>
    <w:rsid w:val="35BE522E"/>
    <w:rsid w:val="35CD7559"/>
    <w:rsid w:val="35D35979"/>
    <w:rsid w:val="361817C3"/>
    <w:rsid w:val="36331599"/>
    <w:rsid w:val="36351EC8"/>
    <w:rsid w:val="36352E6F"/>
    <w:rsid w:val="365A3F7A"/>
    <w:rsid w:val="366C2EDB"/>
    <w:rsid w:val="369371B0"/>
    <w:rsid w:val="36A93B22"/>
    <w:rsid w:val="36AF4EB1"/>
    <w:rsid w:val="36B83D65"/>
    <w:rsid w:val="37035374"/>
    <w:rsid w:val="377207C1"/>
    <w:rsid w:val="377350FF"/>
    <w:rsid w:val="37962D4E"/>
    <w:rsid w:val="3810089A"/>
    <w:rsid w:val="38481119"/>
    <w:rsid w:val="384D2A16"/>
    <w:rsid w:val="385C2FA7"/>
    <w:rsid w:val="388C36FB"/>
    <w:rsid w:val="389E576D"/>
    <w:rsid w:val="38A01134"/>
    <w:rsid w:val="38B359BD"/>
    <w:rsid w:val="38C51EF1"/>
    <w:rsid w:val="38D1110E"/>
    <w:rsid w:val="38F0278A"/>
    <w:rsid w:val="392A081F"/>
    <w:rsid w:val="3995213C"/>
    <w:rsid w:val="399A3BF6"/>
    <w:rsid w:val="39AE184D"/>
    <w:rsid w:val="39DF6449"/>
    <w:rsid w:val="39F06BFD"/>
    <w:rsid w:val="39F81869"/>
    <w:rsid w:val="3A03179B"/>
    <w:rsid w:val="3A156792"/>
    <w:rsid w:val="3A1E0383"/>
    <w:rsid w:val="3A3556CD"/>
    <w:rsid w:val="3A437DEA"/>
    <w:rsid w:val="3A5C534F"/>
    <w:rsid w:val="3A614DBA"/>
    <w:rsid w:val="3A682D27"/>
    <w:rsid w:val="3A6F0BDF"/>
    <w:rsid w:val="3A7601BF"/>
    <w:rsid w:val="3A9163E1"/>
    <w:rsid w:val="3B140F6C"/>
    <w:rsid w:val="3B1C4EDF"/>
    <w:rsid w:val="3B547DD5"/>
    <w:rsid w:val="3B581673"/>
    <w:rsid w:val="3B583D69"/>
    <w:rsid w:val="3B6F7E72"/>
    <w:rsid w:val="3B7A3CDF"/>
    <w:rsid w:val="3BAF71BA"/>
    <w:rsid w:val="3BC944D9"/>
    <w:rsid w:val="3BFD5DA1"/>
    <w:rsid w:val="3C4B62AF"/>
    <w:rsid w:val="3C607BB2"/>
    <w:rsid w:val="3C611042"/>
    <w:rsid w:val="3C7558EF"/>
    <w:rsid w:val="3C85293C"/>
    <w:rsid w:val="3C895D13"/>
    <w:rsid w:val="3C964B49"/>
    <w:rsid w:val="3CB43221"/>
    <w:rsid w:val="3CCD42E3"/>
    <w:rsid w:val="3CCF1E09"/>
    <w:rsid w:val="3D4D1E2F"/>
    <w:rsid w:val="3D5A3DC8"/>
    <w:rsid w:val="3D5E753F"/>
    <w:rsid w:val="3D932E36"/>
    <w:rsid w:val="3D96413C"/>
    <w:rsid w:val="3D98236B"/>
    <w:rsid w:val="3DC03A9F"/>
    <w:rsid w:val="3DE6565C"/>
    <w:rsid w:val="3DEA3BE6"/>
    <w:rsid w:val="3E0E28B1"/>
    <w:rsid w:val="3E2A4A06"/>
    <w:rsid w:val="3E4745F6"/>
    <w:rsid w:val="3E686071"/>
    <w:rsid w:val="3EAC4B90"/>
    <w:rsid w:val="3EAF3CA0"/>
    <w:rsid w:val="3EB372DB"/>
    <w:rsid w:val="3EC32E8E"/>
    <w:rsid w:val="3ED5611A"/>
    <w:rsid w:val="3EE11E97"/>
    <w:rsid w:val="3F127592"/>
    <w:rsid w:val="3F2F7A0B"/>
    <w:rsid w:val="3F381EE7"/>
    <w:rsid w:val="3F77167C"/>
    <w:rsid w:val="3FCA43E5"/>
    <w:rsid w:val="3FD140EA"/>
    <w:rsid w:val="3FD44BBA"/>
    <w:rsid w:val="3FDE620D"/>
    <w:rsid w:val="3FE03D9A"/>
    <w:rsid w:val="3FEE114E"/>
    <w:rsid w:val="400214EA"/>
    <w:rsid w:val="40161AFD"/>
    <w:rsid w:val="40374701"/>
    <w:rsid w:val="407878D1"/>
    <w:rsid w:val="40830988"/>
    <w:rsid w:val="40994C08"/>
    <w:rsid w:val="40AE7556"/>
    <w:rsid w:val="40B530C4"/>
    <w:rsid w:val="40CA5E1D"/>
    <w:rsid w:val="40CF23D7"/>
    <w:rsid w:val="40D02652"/>
    <w:rsid w:val="40FC2A5F"/>
    <w:rsid w:val="4105404B"/>
    <w:rsid w:val="4136773E"/>
    <w:rsid w:val="413E5EC6"/>
    <w:rsid w:val="418331C2"/>
    <w:rsid w:val="418A2940"/>
    <w:rsid w:val="41917FE3"/>
    <w:rsid w:val="41CC6917"/>
    <w:rsid w:val="41F8001E"/>
    <w:rsid w:val="41FA73FD"/>
    <w:rsid w:val="420460B1"/>
    <w:rsid w:val="420B44C0"/>
    <w:rsid w:val="424A028F"/>
    <w:rsid w:val="42814E9C"/>
    <w:rsid w:val="4291098B"/>
    <w:rsid w:val="42A81F09"/>
    <w:rsid w:val="42CD6A50"/>
    <w:rsid w:val="42E12896"/>
    <w:rsid w:val="432804C5"/>
    <w:rsid w:val="432B3B11"/>
    <w:rsid w:val="4398139D"/>
    <w:rsid w:val="43C53F65"/>
    <w:rsid w:val="43C65928"/>
    <w:rsid w:val="43FA5348"/>
    <w:rsid w:val="44097A52"/>
    <w:rsid w:val="44316F05"/>
    <w:rsid w:val="443E650A"/>
    <w:rsid w:val="44507CD3"/>
    <w:rsid w:val="44524C47"/>
    <w:rsid w:val="4459224E"/>
    <w:rsid w:val="44643FAB"/>
    <w:rsid w:val="4497145E"/>
    <w:rsid w:val="45393BAE"/>
    <w:rsid w:val="453942C3"/>
    <w:rsid w:val="455702FC"/>
    <w:rsid w:val="4565330A"/>
    <w:rsid w:val="456F5F37"/>
    <w:rsid w:val="45A1630C"/>
    <w:rsid w:val="45A656D1"/>
    <w:rsid w:val="45A71B75"/>
    <w:rsid w:val="45C06792"/>
    <w:rsid w:val="45C83899"/>
    <w:rsid w:val="45D326C1"/>
    <w:rsid w:val="45DA7762"/>
    <w:rsid w:val="45FD79E7"/>
    <w:rsid w:val="461D1AAF"/>
    <w:rsid w:val="46954C2B"/>
    <w:rsid w:val="46957C1F"/>
    <w:rsid w:val="46BB14CC"/>
    <w:rsid w:val="46DE2A7F"/>
    <w:rsid w:val="46DF2FA1"/>
    <w:rsid w:val="46F64735"/>
    <w:rsid w:val="470C5EBE"/>
    <w:rsid w:val="470D3C59"/>
    <w:rsid w:val="47165B5B"/>
    <w:rsid w:val="473A4323"/>
    <w:rsid w:val="474918D0"/>
    <w:rsid w:val="47542ADD"/>
    <w:rsid w:val="477535AD"/>
    <w:rsid w:val="47974F60"/>
    <w:rsid w:val="47A02768"/>
    <w:rsid w:val="47B93F31"/>
    <w:rsid w:val="47F6293F"/>
    <w:rsid w:val="47FC208C"/>
    <w:rsid w:val="48185EC9"/>
    <w:rsid w:val="484E6E20"/>
    <w:rsid w:val="485A5658"/>
    <w:rsid w:val="48633DF9"/>
    <w:rsid w:val="4867383D"/>
    <w:rsid w:val="486F26F2"/>
    <w:rsid w:val="48A64A2E"/>
    <w:rsid w:val="48AA54D8"/>
    <w:rsid w:val="48B23267"/>
    <w:rsid w:val="48BD345D"/>
    <w:rsid w:val="49196BD7"/>
    <w:rsid w:val="494D5A3B"/>
    <w:rsid w:val="49530E7A"/>
    <w:rsid w:val="49531B59"/>
    <w:rsid w:val="495C5F40"/>
    <w:rsid w:val="497955D6"/>
    <w:rsid w:val="498F1685"/>
    <w:rsid w:val="49B04D70"/>
    <w:rsid w:val="49B750FB"/>
    <w:rsid w:val="49DE18DD"/>
    <w:rsid w:val="49E26A46"/>
    <w:rsid w:val="49E65DD6"/>
    <w:rsid w:val="49F87F75"/>
    <w:rsid w:val="4A1672C9"/>
    <w:rsid w:val="4A186429"/>
    <w:rsid w:val="4A1C2405"/>
    <w:rsid w:val="4A3C5CA2"/>
    <w:rsid w:val="4A3F1E36"/>
    <w:rsid w:val="4A441E24"/>
    <w:rsid w:val="4A765471"/>
    <w:rsid w:val="4A8055D9"/>
    <w:rsid w:val="4AA246B9"/>
    <w:rsid w:val="4ABB03E5"/>
    <w:rsid w:val="4ABC5537"/>
    <w:rsid w:val="4AC97E97"/>
    <w:rsid w:val="4ADD04D5"/>
    <w:rsid w:val="4AE178D7"/>
    <w:rsid w:val="4B087B0D"/>
    <w:rsid w:val="4B180E1F"/>
    <w:rsid w:val="4B5736F5"/>
    <w:rsid w:val="4B5A4F93"/>
    <w:rsid w:val="4B614574"/>
    <w:rsid w:val="4B78621C"/>
    <w:rsid w:val="4B96275B"/>
    <w:rsid w:val="4B9E7576"/>
    <w:rsid w:val="4BAD1801"/>
    <w:rsid w:val="4BF50BE1"/>
    <w:rsid w:val="4C066EC9"/>
    <w:rsid w:val="4C5639AD"/>
    <w:rsid w:val="4C5C0638"/>
    <w:rsid w:val="4C8A2E46"/>
    <w:rsid w:val="4CA02E7A"/>
    <w:rsid w:val="4CC823D1"/>
    <w:rsid w:val="4D0A7374"/>
    <w:rsid w:val="4D121E52"/>
    <w:rsid w:val="4D211BAD"/>
    <w:rsid w:val="4D3E01B2"/>
    <w:rsid w:val="4D693BB4"/>
    <w:rsid w:val="4D8B58D8"/>
    <w:rsid w:val="4D8C33FE"/>
    <w:rsid w:val="4D97263C"/>
    <w:rsid w:val="4DC64B62"/>
    <w:rsid w:val="4DEC34D2"/>
    <w:rsid w:val="4E0B28D9"/>
    <w:rsid w:val="4E1803EE"/>
    <w:rsid w:val="4E241889"/>
    <w:rsid w:val="4E2A3474"/>
    <w:rsid w:val="4E3B72FE"/>
    <w:rsid w:val="4E5072FA"/>
    <w:rsid w:val="4E721A91"/>
    <w:rsid w:val="4E7543F1"/>
    <w:rsid w:val="4E78781E"/>
    <w:rsid w:val="4E7A7156"/>
    <w:rsid w:val="4E8F1143"/>
    <w:rsid w:val="4EEA2AD2"/>
    <w:rsid w:val="4EF01AE5"/>
    <w:rsid w:val="4EF31E5D"/>
    <w:rsid w:val="4EF474AD"/>
    <w:rsid w:val="4EF75BDD"/>
    <w:rsid w:val="4F063682"/>
    <w:rsid w:val="4F1A4144"/>
    <w:rsid w:val="4F232112"/>
    <w:rsid w:val="4F3E697A"/>
    <w:rsid w:val="4FA964E9"/>
    <w:rsid w:val="4FF529BA"/>
    <w:rsid w:val="502E571C"/>
    <w:rsid w:val="504402AC"/>
    <w:rsid w:val="504C2826"/>
    <w:rsid w:val="505521C8"/>
    <w:rsid w:val="50785571"/>
    <w:rsid w:val="50D22EE7"/>
    <w:rsid w:val="5114461E"/>
    <w:rsid w:val="511D0F3D"/>
    <w:rsid w:val="512048AA"/>
    <w:rsid w:val="512F0A7E"/>
    <w:rsid w:val="514364CA"/>
    <w:rsid w:val="51560B83"/>
    <w:rsid w:val="515B2E61"/>
    <w:rsid w:val="519565B7"/>
    <w:rsid w:val="51981524"/>
    <w:rsid w:val="51AB6549"/>
    <w:rsid w:val="51B86EB8"/>
    <w:rsid w:val="51CC7455"/>
    <w:rsid w:val="51D1400B"/>
    <w:rsid w:val="51DA0BDC"/>
    <w:rsid w:val="51E24880"/>
    <w:rsid w:val="51EE28D9"/>
    <w:rsid w:val="51F837D1"/>
    <w:rsid w:val="52385E3C"/>
    <w:rsid w:val="526149F3"/>
    <w:rsid w:val="5295250A"/>
    <w:rsid w:val="5296040C"/>
    <w:rsid w:val="52D366D3"/>
    <w:rsid w:val="52DE46FC"/>
    <w:rsid w:val="52E511BE"/>
    <w:rsid w:val="53013C07"/>
    <w:rsid w:val="53071EA5"/>
    <w:rsid w:val="53277E51"/>
    <w:rsid w:val="53536E98"/>
    <w:rsid w:val="535729A3"/>
    <w:rsid w:val="535C417D"/>
    <w:rsid w:val="538C4158"/>
    <w:rsid w:val="539126F2"/>
    <w:rsid w:val="53A617A0"/>
    <w:rsid w:val="53C02393"/>
    <w:rsid w:val="53C51418"/>
    <w:rsid w:val="53E33EC5"/>
    <w:rsid w:val="53E67D3B"/>
    <w:rsid w:val="540C5299"/>
    <w:rsid w:val="541127AE"/>
    <w:rsid w:val="5419209D"/>
    <w:rsid w:val="543C4552"/>
    <w:rsid w:val="544B5DC1"/>
    <w:rsid w:val="54680EAB"/>
    <w:rsid w:val="54962859"/>
    <w:rsid w:val="54A43AD6"/>
    <w:rsid w:val="54D05460"/>
    <w:rsid w:val="54FE1085"/>
    <w:rsid w:val="550D62E5"/>
    <w:rsid w:val="55200FFC"/>
    <w:rsid w:val="559E0172"/>
    <w:rsid w:val="55B41744"/>
    <w:rsid w:val="55E873DA"/>
    <w:rsid w:val="5613290E"/>
    <w:rsid w:val="566C28B8"/>
    <w:rsid w:val="56701B0F"/>
    <w:rsid w:val="568D446F"/>
    <w:rsid w:val="569C5257"/>
    <w:rsid w:val="56A45C5C"/>
    <w:rsid w:val="56C72947"/>
    <w:rsid w:val="56DA342C"/>
    <w:rsid w:val="56DE2F1C"/>
    <w:rsid w:val="57132881"/>
    <w:rsid w:val="575C17C0"/>
    <w:rsid w:val="57662666"/>
    <w:rsid w:val="57746DAC"/>
    <w:rsid w:val="57A9177C"/>
    <w:rsid w:val="57AC5CC1"/>
    <w:rsid w:val="57BD5228"/>
    <w:rsid w:val="57F473E9"/>
    <w:rsid w:val="580C06DD"/>
    <w:rsid w:val="5817210A"/>
    <w:rsid w:val="583C439E"/>
    <w:rsid w:val="584A16E7"/>
    <w:rsid w:val="584B5DDC"/>
    <w:rsid w:val="584E40D2"/>
    <w:rsid w:val="588B2C30"/>
    <w:rsid w:val="58966C2D"/>
    <w:rsid w:val="589E7A36"/>
    <w:rsid w:val="58B54B5A"/>
    <w:rsid w:val="58C22DDC"/>
    <w:rsid w:val="58DC7930"/>
    <w:rsid w:val="58EA2909"/>
    <w:rsid w:val="5900361E"/>
    <w:rsid w:val="59256B7E"/>
    <w:rsid w:val="59264BC4"/>
    <w:rsid w:val="59381C91"/>
    <w:rsid w:val="593917BB"/>
    <w:rsid w:val="59484FC5"/>
    <w:rsid w:val="594E611F"/>
    <w:rsid w:val="597445A9"/>
    <w:rsid w:val="59837814"/>
    <w:rsid w:val="59942098"/>
    <w:rsid w:val="59A34332"/>
    <w:rsid w:val="59A57D21"/>
    <w:rsid w:val="59A87812"/>
    <w:rsid w:val="59B368E2"/>
    <w:rsid w:val="59CB00DF"/>
    <w:rsid w:val="59E36A9C"/>
    <w:rsid w:val="5A7B0469"/>
    <w:rsid w:val="5A7D47FA"/>
    <w:rsid w:val="5AE14D89"/>
    <w:rsid w:val="5B0171D9"/>
    <w:rsid w:val="5B0B44FC"/>
    <w:rsid w:val="5B10566E"/>
    <w:rsid w:val="5B130AB9"/>
    <w:rsid w:val="5B2A25C0"/>
    <w:rsid w:val="5B8B0A0A"/>
    <w:rsid w:val="5B920779"/>
    <w:rsid w:val="5B9E7C72"/>
    <w:rsid w:val="5BB52C78"/>
    <w:rsid w:val="5BC17E18"/>
    <w:rsid w:val="5BCF0A61"/>
    <w:rsid w:val="5BD40D92"/>
    <w:rsid w:val="5BEA3DFB"/>
    <w:rsid w:val="5BED3C02"/>
    <w:rsid w:val="5C345051"/>
    <w:rsid w:val="5C384E7D"/>
    <w:rsid w:val="5C891FB5"/>
    <w:rsid w:val="5C8C341B"/>
    <w:rsid w:val="5CB00EB7"/>
    <w:rsid w:val="5CB22E1D"/>
    <w:rsid w:val="5CBB785C"/>
    <w:rsid w:val="5CF00FE9"/>
    <w:rsid w:val="5D1A6E7B"/>
    <w:rsid w:val="5D221689"/>
    <w:rsid w:val="5D514E45"/>
    <w:rsid w:val="5D860C1A"/>
    <w:rsid w:val="5DC25B98"/>
    <w:rsid w:val="5DCF7A63"/>
    <w:rsid w:val="5DE83E73"/>
    <w:rsid w:val="5E282CCF"/>
    <w:rsid w:val="5E4D0441"/>
    <w:rsid w:val="5E500902"/>
    <w:rsid w:val="5E8F175D"/>
    <w:rsid w:val="5E9607E8"/>
    <w:rsid w:val="5E9D26D9"/>
    <w:rsid w:val="5E9D7B70"/>
    <w:rsid w:val="5EA90CA0"/>
    <w:rsid w:val="5EBA601D"/>
    <w:rsid w:val="5ED679F2"/>
    <w:rsid w:val="5EF17565"/>
    <w:rsid w:val="5EF24030"/>
    <w:rsid w:val="5EF666FE"/>
    <w:rsid w:val="5EF7101F"/>
    <w:rsid w:val="5F011E9E"/>
    <w:rsid w:val="5F2E6A0B"/>
    <w:rsid w:val="5F601B6C"/>
    <w:rsid w:val="5F617DFA"/>
    <w:rsid w:val="5F830B05"/>
    <w:rsid w:val="5F9C3975"/>
    <w:rsid w:val="603F10BE"/>
    <w:rsid w:val="60413952"/>
    <w:rsid w:val="60491E5A"/>
    <w:rsid w:val="60533BC0"/>
    <w:rsid w:val="60681AA9"/>
    <w:rsid w:val="60692C8D"/>
    <w:rsid w:val="608225BC"/>
    <w:rsid w:val="60DC2B63"/>
    <w:rsid w:val="60DD792A"/>
    <w:rsid w:val="60F468FE"/>
    <w:rsid w:val="611A2DA3"/>
    <w:rsid w:val="613876CD"/>
    <w:rsid w:val="61402E55"/>
    <w:rsid w:val="6175447D"/>
    <w:rsid w:val="618760F5"/>
    <w:rsid w:val="61D871EF"/>
    <w:rsid w:val="61DA1481"/>
    <w:rsid w:val="61F061FA"/>
    <w:rsid w:val="62145A44"/>
    <w:rsid w:val="6246478E"/>
    <w:rsid w:val="62830E1C"/>
    <w:rsid w:val="62D81168"/>
    <w:rsid w:val="62F45876"/>
    <w:rsid w:val="635602DE"/>
    <w:rsid w:val="63822E81"/>
    <w:rsid w:val="63860BC4"/>
    <w:rsid w:val="63870498"/>
    <w:rsid w:val="638C3B91"/>
    <w:rsid w:val="63B35731"/>
    <w:rsid w:val="63D01A2F"/>
    <w:rsid w:val="63D93CBA"/>
    <w:rsid w:val="63EA75B7"/>
    <w:rsid w:val="64025217"/>
    <w:rsid w:val="64167D04"/>
    <w:rsid w:val="645E7643"/>
    <w:rsid w:val="646A06F8"/>
    <w:rsid w:val="647E7AED"/>
    <w:rsid w:val="64AF2E27"/>
    <w:rsid w:val="64F65777"/>
    <w:rsid w:val="650049A6"/>
    <w:rsid w:val="65172D72"/>
    <w:rsid w:val="65503E2A"/>
    <w:rsid w:val="65587747"/>
    <w:rsid w:val="657B012D"/>
    <w:rsid w:val="65C8205B"/>
    <w:rsid w:val="65CB4FB4"/>
    <w:rsid w:val="65EE47FE"/>
    <w:rsid w:val="661223FE"/>
    <w:rsid w:val="66435FFD"/>
    <w:rsid w:val="66501015"/>
    <w:rsid w:val="66810568"/>
    <w:rsid w:val="66833654"/>
    <w:rsid w:val="66862C89"/>
    <w:rsid w:val="66BB693E"/>
    <w:rsid w:val="66CA3990"/>
    <w:rsid w:val="66DE6A20"/>
    <w:rsid w:val="670A5668"/>
    <w:rsid w:val="67156DC4"/>
    <w:rsid w:val="672524A2"/>
    <w:rsid w:val="67397CFB"/>
    <w:rsid w:val="674566A0"/>
    <w:rsid w:val="674C3ED2"/>
    <w:rsid w:val="67642FCA"/>
    <w:rsid w:val="67767967"/>
    <w:rsid w:val="678B4118"/>
    <w:rsid w:val="678C75A7"/>
    <w:rsid w:val="67CD6582"/>
    <w:rsid w:val="67E4410B"/>
    <w:rsid w:val="67E67E83"/>
    <w:rsid w:val="68336006"/>
    <w:rsid w:val="68354966"/>
    <w:rsid w:val="68535B9F"/>
    <w:rsid w:val="68614CFA"/>
    <w:rsid w:val="68C161FA"/>
    <w:rsid w:val="68C83A2C"/>
    <w:rsid w:val="68DA063B"/>
    <w:rsid w:val="68E57F47"/>
    <w:rsid w:val="69004AC3"/>
    <w:rsid w:val="693A73DB"/>
    <w:rsid w:val="694632B1"/>
    <w:rsid w:val="694C2425"/>
    <w:rsid w:val="69544FF2"/>
    <w:rsid w:val="69847953"/>
    <w:rsid w:val="69925D1F"/>
    <w:rsid w:val="69C75A92"/>
    <w:rsid w:val="69DE06AE"/>
    <w:rsid w:val="69E44896"/>
    <w:rsid w:val="69F30635"/>
    <w:rsid w:val="69F87E54"/>
    <w:rsid w:val="6A266C5C"/>
    <w:rsid w:val="6A6E4160"/>
    <w:rsid w:val="6A753740"/>
    <w:rsid w:val="6A835E5D"/>
    <w:rsid w:val="6AA858C3"/>
    <w:rsid w:val="6AB44268"/>
    <w:rsid w:val="6AD0052D"/>
    <w:rsid w:val="6AF01018"/>
    <w:rsid w:val="6B476E8A"/>
    <w:rsid w:val="6B641521"/>
    <w:rsid w:val="6B7B2FDB"/>
    <w:rsid w:val="6B86433A"/>
    <w:rsid w:val="6B9E0A74"/>
    <w:rsid w:val="6BAA7419"/>
    <w:rsid w:val="6BCB517A"/>
    <w:rsid w:val="6BD3166C"/>
    <w:rsid w:val="6BD75E7E"/>
    <w:rsid w:val="6BEB1F0C"/>
    <w:rsid w:val="6BFF7765"/>
    <w:rsid w:val="6C131266"/>
    <w:rsid w:val="6C372C96"/>
    <w:rsid w:val="6C5374D3"/>
    <w:rsid w:val="6C663340"/>
    <w:rsid w:val="6C6F6414"/>
    <w:rsid w:val="6C98655E"/>
    <w:rsid w:val="6CAB51F7"/>
    <w:rsid w:val="6CCF47F6"/>
    <w:rsid w:val="6CD646CF"/>
    <w:rsid w:val="6D0B108C"/>
    <w:rsid w:val="6D4D3026"/>
    <w:rsid w:val="6D513FF0"/>
    <w:rsid w:val="6D563181"/>
    <w:rsid w:val="6D997FB7"/>
    <w:rsid w:val="6DA44814"/>
    <w:rsid w:val="6DA560EA"/>
    <w:rsid w:val="6DCF13B9"/>
    <w:rsid w:val="6DEB2DD3"/>
    <w:rsid w:val="6DEB704E"/>
    <w:rsid w:val="6E486683"/>
    <w:rsid w:val="6E731D44"/>
    <w:rsid w:val="6E765DAA"/>
    <w:rsid w:val="6E7F693B"/>
    <w:rsid w:val="6E86399F"/>
    <w:rsid w:val="6E91666F"/>
    <w:rsid w:val="6E9842E7"/>
    <w:rsid w:val="6EBD6CCD"/>
    <w:rsid w:val="6EDC7E63"/>
    <w:rsid w:val="6EE669BA"/>
    <w:rsid w:val="6EEB76D5"/>
    <w:rsid w:val="6EFE3D04"/>
    <w:rsid w:val="6F2463D6"/>
    <w:rsid w:val="6F3040D9"/>
    <w:rsid w:val="6F5B422B"/>
    <w:rsid w:val="6F777D3A"/>
    <w:rsid w:val="6F7F4719"/>
    <w:rsid w:val="6FAB748D"/>
    <w:rsid w:val="6FEA39B7"/>
    <w:rsid w:val="70057314"/>
    <w:rsid w:val="701F0FCA"/>
    <w:rsid w:val="70253512"/>
    <w:rsid w:val="703419A7"/>
    <w:rsid w:val="70A408DB"/>
    <w:rsid w:val="70B32647"/>
    <w:rsid w:val="70FF08A3"/>
    <w:rsid w:val="71290DE0"/>
    <w:rsid w:val="714F236D"/>
    <w:rsid w:val="71773F8C"/>
    <w:rsid w:val="71C370BB"/>
    <w:rsid w:val="71CD2127"/>
    <w:rsid w:val="71FE401B"/>
    <w:rsid w:val="72181581"/>
    <w:rsid w:val="7236410C"/>
    <w:rsid w:val="724C2FD8"/>
    <w:rsid w:val="72BC491B"/>
    <w:rsid w:val="72C520AA"/>
    <w:rsid w:val="72FD3C68"/>
    <w:rsid w:val="7312206F"/>
    <w:rsid w:val="732E0930"/>
    <w:rsid w:val="734175FF"/>
    <w:rsid w:val="734B14E2"/>
    <w:rsid w:val="737F2F3A"/>
    <w:rsid w:val="738B0D99"/>
    <w:rsid w:val="73A97D1D"/>
    <w:rsid w:val="73DD6B53"/>
    <w:rsid w:val="7400407A"/>
    <w:rsid w:val="74416441"/>
    <w:rsid w:val="747405C4"/>
    <w:rsid w:val="74767B94"/>
    <w:rsid w:val="747969A7"/>
    <w:rsid w:val="74856C75"/>
    <w:rsid w:val="748C324E"/>
    <w:rsid w:val="74964724"/>
    <w:rsid w:val="74A7193D"/>
    <w:rsid w:val="74B562F2"/>
    <w:rsid w:val="74CE2A57"/>
    <w:rsid w:val="74E03EAC"/>
    <w:rsid w:val="750650D9"/>
    <w:rsid w:val="7516167C"/>
    <w:rsid w:val="755C6A27"/>
    <w:rsid w:val="755C79D6"/>
    <w:rsid w:val="756C4ECB"/>
    <w:rsid w:val="757A4300"/>
    <w:rsid w:val="758807CB"/>
    <w:rsid w:val="75BF3AC1"/>
    <w:rsid w:val="75FB71EF"/>
    <w:rsid w:val="75FC216D"/>
    <w:rsid w:val="761D33CD"/>
    <w:rsid w:val="7620086F"/>
    <w:rsid w:val="76371DD9"/>
    <w:rsid w:val="765468FF"/>
    <w:rsid w:val="76764AC8"/>
    <w:rsid w:val="76A63920"/>
    <w:rsid w:val="76C021E7"/>
    <w:rsid w:val="76C26935"/>
    <w:rsid w:val="77204A34"/>
    <w:rsid w:val="77244524"/>
    <w:rsid w:val="775C2B9B"/>
    <w:rsid w:val="77C54C5B"/>
    <w:rsid w:val="77E411D9"/>
    <w:rsid w:val="77E93077"/>
    <w:rsid w:val="77F61B47"/>
    <w:rsid w:val="77FC2DAB"/>
    <w:rsid w:val="78153DD4"/>
    <w:rsid w:val="78183B93"/>
    <w:rsid w:val="7828740D"/>
    <w:rsid w:val="786372CE"/>
    <w:rsid w:val="78930A89"/>
    <w:rsid w:val="789D458E"/>
    <w:rsid w:val="78AC0EF3"/>
    <w:rsid w:val="78B310F1"/>
    <w:rsid w:val="78BC253A"/>
    <w:rsid w:val="78FC6D8C"/>
    <w:rsid w:val="79015B77"/>
    <w:rsid w:val="790A7F7D"/>
    <w:rsid w:val="791A5BDE"/>
    <w:rsid w:val="794B3FEA"/>
    <w:rsid w:val="79641194"/>
    <w:rsid w:val="799A29A3"/>
    <w:rsid w:val="79AD6A52"/>
    <w:rsid w:val="79B63C17"/>
    <w:rsid w:val="79C478F8"/>
    <w:rsid w:val="79C618C2"/>
    <w:rsid w:val="79CA32FA"/>
    <w:rsid w:val="79CC1A80"/>
    <w:rsid w:val="79DD09BA"/>
    <w:rsid w:val="79E24222"/>
    <w:rsid w:val="79F002FF"/>
    <w:rsid w:val="7A014FFF"/>
    <w:rsid w:val="7A0B5527"/>
    <w:rsid w:val="7A306756"/>
    <w:rsid w:val="7A37631C"/>
    <w:rsid w:val="7A7474B9"/>
    <w:rsid w:val="7A992B33"/>
    <w:rsid w:val="7A9E15ED"/>
    <w:rsid w:val="7AC35E02"/>
    <w:rsid w:val="7ACC1C58"/>
    <w:rsid w:val="7AEB6EB6"/>
    <w:rsid w:val="7AF447EC"/>
    <w:rsid w:val="7B060822"/>
    <w:rsid w:val="7B116952"/>
    <w:rsid w:val="7B1543B3"/>
    <w:rsid w:val="7B196BA9"/>
    <w:rsid w:val="7B424F78"/>
    <w:rsid w:val="7B89704B"/>
    <w:rsid w:val="7B8D3394"/>
    <w:rsid w:val="7BD36518"/>
    <w:rsid w:val="7BEC519D"/>
    <w:rsid w:val="7C146AC6"/>
    <w:rsid w:val="7C1A70CE"/>
    <w:rsid w:val="7C3269FB"/>
    <w:rsid w:val="7C4B0074"/>
    <w:rsid w:val="7C521FA5"/>
    <w:rsid w:val="7C8757E9"/>
    <w:rsid w:val="7C944D98"/>
    <w:rsid w:val="7CC320EC"/>
    <w:rsid w:val="7CE16A13"/>
    <w:rsid w:val="7CE64029"/>
    <w:rsid w:val="7CFC072C"/>
    <w:rsid w:val="7D0821F2"/>
    <w:rsid w:val="7D1961AD"/>
    <w:rsid w:val="7D2D3E98"/>
    <w:rsid w:val="7D317BC2"/>
    <w:rsid w:val="7D4506FA"/>
    <w:rsid w:val="7D715597"/>
    <w:rsid w:val="7D896FD8"/>
    <w:rsid w:val="7D94336A"/>
    <w:rsid w:val="7DAD7713"/>
    <w:rsid w:val="7DBB54B6"/>
    <w:rsid w:val="7DD6693E"/>
    <w:rsid w:val="7DDB16B4"/>
    <w:rsid w:val="7DF84555"/>
    <w:rsid w:val="7DFC79CC"/>
    <w:rsid w:val="7E374B3D"/>
    <w:rsid w:val="7E5714A9"/>
    <w:rsid w:val="7F385010"/>
    <w:rsid w:val="7F4D0390"/>
    <w:rsid w:val="7F5A1DEE"/>
    <w:rsid w:val="7F6C4CBA"/>
    <w:rsid w:val="7F7D0C1F"/>
    <w:rsid w:val="7FA11700"/>
    <w:rsid w:val="7FB56661"/>
    <w:rsid w:val="7FF2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eastAsia="宋体" w:cs="Times New Roman"/>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BDF74-5CFF-4D9A-AC8E-222BC64EDC50}">
  <ds:schemaRefs/>
</ds:datastoreItem>
</file>

<file path=docProps/app.xml><?xml version="1.0" encoding="utf-8"?>
<Properties xmlns="http://schemas.openxmlformats.org/officeDocument/2006/extended-properties" xmlns:vt="http://schemas.openxmlformats.org/officeDocument/2006/docPropsVTypes">
  <Template>Normal</Template>
  <Pages>44</Pages>
  <Words>23318</Words>
  <Characters>23910</Characters>
  <Lines>176</Lines>
  <Paragraphs>49</Paragraphs>
  <TotalTime>4</TotalTime>
  <ScaleCrop>false</ScaleCrop>
  <LinksUpToDate>false</LinksUpToDate>
  <CharactersWithSpaces>23931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2022-08-31T07:35:00Z</dcterms:created>
  <dc:creator>DELL</dc:creator>
  <cp:lastModifiedBy>test</cp:lastModifiedBy>
  <cp:lastPrinted>2023-05-18T02:37:00Z</cp:lastPrinted>
  <dcterms:modified xsi:type="dcterms:W3CDTF">2023-11-20T09:18:51Z</dcterms:modified>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7A83A8DAEEA84B6BABD796E374B6C53B_13</vt:lpwstr>
  </property>
</Properties>
</file>