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 2022 年预算绩效管理工作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预算绩效管理工作作为财政工作的重中之重，严格按照中央和省市关于做好预算绩效管理工作的部署要求，从制度建设、评价范围、结果应用、过程管理四方面着手，强化举措、抓主抓重，预算绩效管理工作取得了显著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一、对重大项目开展事前绩效评估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月财政局通过自行询价的方式聘请甘肃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禾超工程造价咨询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静宁县2022年滨河道路绿化建设项目、2022年平凉市静宁县第三幼儿园建设项目、静宁县甘沟镇产业经济融合示范基地基础设施配套项目、静宁县2022年合作社发展扶持（农机）项目、城川镇2022年老果园改造项目、静宁县停车场建设项目、静宁县北环中路（西环路-成纪路）道路改造工程、静宁县2022年农村供水保障（一期）工程、静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县静西支路道路改造工程项目、静宁县细巷镇韩川-谭店生态循环农业示范基地建设项目、静宁县中医院中医治疗业务楼项目、平凉机电工程学校实训基地建设项目事前绩效评价。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15032.68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对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衔接和涉农整合等重点财政项目资金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发力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3家第三方机构对</w:t>
      </w:r>
      <w:r>
        <w:rPr>
          <w:rFonts w:hint="eastAsia" w:ascii="仿宋_GB2312" w:hAnsi="仿宋_GB2312" w:eastAsia="仿宋_GB2312" w:cs="仿宋_GB2312"/>
          <w:sz w:val="32"/>
          <w:szCs w:val="32"/>
        </w:rPr>
        <w:t>静宁县食品药品检验检测中心改建项目，公安局执法办案管理中心项目，静宁县2022年滨河道路绿化建设项目，平凉市奥林匹克公园建设项目，黄土高原淤地坝项目平凉市静宁县关湾沟大2型淤地坝工程，县级储备小麦轮换价差损失资金，静宁县停车场建设项目，静宁县第三幼儿园项目，静宁县二中综合实验楼项目，静宁县中医康养服务能力提升项，2022年度综合改革发展，2022年6月份城市最低生活保障项目，2022年1-12月事实无人抚养儿童救助项目，静宁县殡仪馆公益性骨灰安放堂项，2022年东西部协作援助资金，静宁县2022年旱作农业示范基地建设项目，静宁县2022年马铃薯优良种薯示范推广项目，甘沟镇产业经济融合示范基地基础设施配套项目，静宁县2022年冬小麦新品种示范基地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进行了重点评价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，涉及资金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25904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三、是对部门整体支出发力。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对机关事务管理局等部门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开展部门整体支出绩效评价，重点对单位的人员结构、支出水平、资产管理、实现绩效等进行摸底评价，虽然开展部门占比低，却是为全面开展部门整体评价积累一些经验和可推广的做法。  </w:t>
      </w:r>
    </w:p>
    <w:p/>
    <w:sectPr>
      <w:headerReference r:id="rId3" w:type="default"/>
      <w:footerReference r:id="rId4" w:type="default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jIzOTM0MjU3Yjg2Mjg1MmUxNjM5MGQ0M2IxYjUifQ=="/>
  </w:docVars>
  <w:rsids>
    <w:rsidRoot w:val="01FC3344"/>
    <w:rsid w:val="01FC3344"/>
    <w:rsid w:val="08D938D2"/>
    <w:rsid w:val="18D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2022-10-21T02:35:00Z</dcterms:created>
  <dc:creator>红袖添香</dc:creator>
  <cp:lastModifiedBy>受挫折的阳光</cp:lastModifiedBy>
  <dcterms:modified xsi:type="dcterms:W3CDTF">2023-11-16T01:25:38Z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89BAE71787924661B96F04BA82EFDF40</vt:lpwstr>
  </property>
</Properties>
</file>